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5948" w14:textId="07859D17" w:rsidR="00AB3475" w:rsidRDefault="00C422B0">
      <w:pPr>
        <w:pStyle w:val="BodyText"/>
        <w:spacing w:before="173"/>
        <w:rPr>
          <w:rFonts w:ascii="Times New Roman"/>
        </w:rPr>
      </w:pPr>
      <w:r>
        <w:rPr>
          <w:rFonts w:ascii="Times New Roman"/>
        </w:rPr>
        <w:t xml:space="preserve"> </w:t>
      </w:r>
    </w:p>
    <w:p w14:paraId="533F594A" w14:textId="209230B8" w:rsidR="00AB3475" w:rsidRDefault="00A853B3" w:rsidP="00501D49">
      <w:pPr>
        <w:pStyle w:val="Heading1"/>
        <w:ind w:left="0" w:right="360"/>
        <w:jc w:val="center"/>
      </w:pPr>
      <w:r>
        <w:t>ANNUAL</w:t>
      </w:r>
      <w:r>
        <w:rPr>
          <w:spacing w:val="-9"/>
        </w:rPr>
        <w:t xml:space="preserve"> </w:t>
      </w:r>
      <w:r>
        <w:t>STATEMENT</w:t>
      </w:r>
      <w:r>
        <w:rPr>
          <w:spacing w:val="-9"/>
        </w:rPr>
        <w:t xml:space="preserve"> </w:t>
      </w:r>
      <w:r>
        <w:t>REGARDING</w:t>
      </w:r>
      <w:r>
        <w:rPr>
          <w:spacing w:val="-5"/>
        </w:rPr>
        <w:t xml:space="preserve"> </w:t>
      </w:r>
      <w:r>
        <w:t>GOVERNANCE</w:t>
      </w:r>
      <w:r>
        <w:rPr>
          <w:spacing w:val="-6"/>
        </w:rPr>
        <w:t xml:space="preserve"> </w:t>
      </w:r>
      <w:r>
        <w:t>OF</w:t>
      </w:r>
      <w:r>
        <w:rPr>
          <w:spacing w:val="-7"/>
        </w:rPr>
        <w:t xml:space="preserve"> </w:t>
      </w:r>
      <w:r>
        <w:t>THE</w:t>
      </w:r>
      <w:r>
        <w:rPr>
          <w:spacing w:val="-7"/>
        </w:rPr>
        <w:t xml:space="preserve"> </w:t>
      </w:r>
      <w:r>
        <w:t>DEFINED</w:t>
      </w:r>
      <w:r>
        <w:rPr>
          <w:spacing w:val="-6"/>
        </w:rPr>
        <w:t xml:space="preserve"> </w:t>
      </w:r>
      <w:r>
        <w:rPr>
          <w:spacing w:val="-2"/>
        </w:rPr>
        <w:t>CONTRIBUTION</w:t>
      </w:r>
      <w:r w:rsidR="00501D49">
        <w:rPr>
          <w:spacing w:val="-2"/>
        </w:rPr>
        <w:t xml:space="preserve"> </w:t>
      </w:r>
      <w:r>
        <w:t>FUNDS</w:t>
      </w:r>
      <w:r>
        <w:rPr>
          <w:spacing w:val="-4"/>
        </w:rPr>
        <w:t xml:space="preserve"> </w:t>
      </w:r>
      <w:r w:rsidR="006E7982">
        <w:t>in</w:t>
      </w:r>
      <w:r>
        <w:rPr>
          <w:spacing w:val="-3"/>
        </w:rPr>
        <w:t xml:space="preserve"> </w:t>
      </w:r>
      <w:r w:rsidR="003B29DD">
        <w:t>Imperial Tobacco Pension Fund</w:t>
      </w:r>
      <w:r>
        <w:rPr>
          <w:spacing w:val="-5"/>
        </w:rPr>
        <w:t xml:space="preserve"> </w:t>
      </w:r>
      <w:r>
        <w:t>(“the</w:t>
      </w:r>
      <w:r>
        <w:rPr>
          <w:spacing w:val="-5"/>
        </w:rPr>
        <w:t xml:space="preserve"> </w:t>
      </w:r>
      <w:r w:rsidR="003B29DD">
        <w:rPr>
          <w:spacing w:val="-2"/>
        </w:rPr>
        <w:t>Fund</w:t>
      </w:r>
      <w:r>
        <w:rPr>
          <w:spacing w:val="-2"/>
        </w:rPr>
        <w:t>”)</w:t>
      </w:r>
    </w:p>
    <w:p w14:paraId="533F594B" w14:textId="77777777" w:rsidR="00AB3475" w:rsidRDefault="00AB3475">
      <w:pPr>
        <w:pStyle w:val="BodyText"/>
        <w:spacing w:before="252"/>
        <w:rPr>
          <w:b/>
        </w:rPr>
      </w:pPr>
    </w:p>
    <w:p w14:paraId="533F594C" w14:textId="77777777" w:rsidR="00AB3475" w:rsidRDefault="00A853B3">
      <w:pPr>
        <w:pStyle w:val="BodyText"/>
        <w:spacing w:before="1"/>
        <w:ind w:left="199" w:right="556"/>
        <w:jc w:val="both"/>
      </w:pPr>
      <w:r>
        <w:t>The Occupational Pension Schemes (Scheme Administration) Regulations 1996 (“the Administration Regulations”) require the Trustee to prepare an annual statement regarding governance, which must be included in the annual Trustee report and accounts and published online. These governance requirements apply to all defined contribution (“DC”) pension arrangements and aim to help members achieve a good outcome from their pension savings.</w:t>
      </w:r>
    </w:p>
    <w:p w14:paraId="533F594D" w14:textId="41F46DD7" w:rsidR="00AB3475" w:rsidRDefault="00A853B3">
      <w:pPr>
        <w:pStyle w:val="BodyText"/>
        <w:spacing w:before="252"/>
        <w:ind w:left="199" w:right="552"/>
        <w:jc w:val="both"/>
      </w:pPr>
      <w:r>
        <w:t>This</w:t>
      </w:r>
      <w:r>
        <w:rPr>
          <w:spacing w:val="-6"/>
        </w:rPr>
        <w:t xml:space="preserve"> </w:t>
      </w:r>
      <w:r>
        <w:t>statement</w:t>
      </w:r>
      <w:r>
        <w:rPr>
          <w:spacing w:val="-7"/>
        </w:rPr>
        <w:t xml:space="preserve"> </w:t>
      </w:r>
      <w:r>
        <w:t>covers</w:t>
      </w:r>
      <w:r>
        <w:rPr>
          <w:spacing w:val="-6"/>
        </w:rPr>
        <w:t xml:space="preserve"> </w:t>
      </w:r>
      <w:r>
        <w:t>the</w:t>
      </w:r>
      <w:r>
        <w:rPr>
          <w:spacing w:val="-6"/>
        </w:rPr>
        <w:t xml:space="preserve"> </w:t>
      </w:r>
      <w:r>
        <w:t>period</w:t>
      </w:r>
      <w:r>
        <w:rPr>
          <w:spacing w:val="-9"/>
        </w:rPr>
        <w:t xml:space="preserve"> </w:t>
      </w:r>
      <w:r>
        <w:t>from</w:t>
      </w:r>
      <w:r>
        <w:rPr>
          <w:spacing w:val="-5"/>
        </w:rPr>
        <w:t xml:space="preserve"> </w:t>
      </w:r>
      <w:r>
        <w:t>1</w:t>
      </w:r>
      <w:r>
        <w:rPr>
          <w:spacing w:val="-6"/>
        </w:rPr>
        <w:t xml:space="preserve"> </w:t>
      </w:r>
      <w:r>
        <w:t>April</w:t>
      </w:r>
      <w:r>
        <w:rPr>
          <w:spacing w:val="-4"/>
        </w:rPr>
        <w:t xml:space="preserve"> </w:t>
      </w:r>
      <w:r>
        <w:t>202</w:t>
      </w:r>
      <w:r w:rsidR="00077932">
        <w:t>4</w:t>
      </w:r>
      <w:r>
        <w:rPr>
          <w:spacing w:val="-6"/>
        </w:rPr>
        <w:t xml:space="preserve"> </w:t>
      </w:r>
      <w:r>
        <w:t>to</w:t>
      </w:r>
      <w:r>
        <w:rPr>
          <w:spacing w:val="-6"/>
        </w:rPr>
        <w:t xml:space="preserve"> </w:t>
      </w:r>
      <w:r>
        <w:t>31</w:t>
      </w:r>
      <w:r>
        <w:rPr>
          <w:spacing w:val="-7"/>
        </w:rPr>
        <w:t xml:space="preserve"> </w:t>
      </w:r>
      <w:r>
        <w:t>March</w:t>
      </w:r>
      <w:r>
        <w:rPr>
          <w:spacing w:val="-6"/>
        </w:rPr>
        <w:t xml:space="preserve"> </w:t>
      </w:r>
      <w:r>
        <w:t>20</w:t>
      </w:r>
      <w:r w:rsidR="00077932">
        <w:t>25</w:t>
      </w:r>
      <w:r>
        <w:rPr>
          <w:spacing w:val="-6"/>
        </w:rPr>
        <w:t xml:space="preserve"> </w:t>
      </w:r>
      <w:r>
        <w:t>(“</w:t>
      </w:r>
      <w:r w:rsidR="003B29DD">
        <w:t>the Fund</w:t>
      </w:r>
      <w:r>
        <w:rPr>
          <w:spacing w:val="-6"/>
        </w:rPr>
        <w:t xml:space="preserve"> </w:t>
      </w:r>
      <w:r>
        <w:t>Year”)</w:t>
      </w:r>
      <w:r>
        <w:rPr>
          <w:spacing w:val="-4"/>
        </w:rPr>
        <w:t xml:space="preserve"> </w:t>
      </w:r>
      <w:r>
        <w:t>and</w:t>
      </w:r>
      <w:r>
        <w:rPr>
          <w:spacing w:val="-6"/>
        </w:rPr>
        <w:t xml:space="preserve"> </w:t>
      </w:r>
      <w:r>
        <w:t>is signed on behalf of the Trustee by the Chair.</w:t>
      </w:r>
    </w:p>
    <w:p w14:paraId="533F594E" w14:textId="77777777" w:rsidR="00AB3475" w:rsidRDefault="00AB3475">
      <w:pPr>
        <w:pStyle w:val="BodyText"/>
        <w:spacing w:before="2"/>
      </w:pPr>
    </w:p>
    <w:p w14:paraId="533F594F" w14:textId="77777777" w:rsidR="00AB3475" w:rsidRDefault="00A853B3">
      <w:pPr>
        <w:pStyle w:val="BodyText"/>
        <w:ind w:left="199"/>
        <w:jc w:val="both"/>
      </w:pPr>
      <w:r>
        <w:t>This</w:t>
      </w:r>
      <w:r>
        <w:rPr>
          <w:spacing w:val="-10"/>
        </w:rPr>
        <w:t xml:space="preserve"> </w:t>
      </w:r>
      <w:r>
        <w:t>statement</w:t>
      </w:r>
      <w:r>
        <w:rPr>
          <w:spacing w:val="-3"/>
        </w:rPr>
        <w:t xml:space="preserve"> </w:t>
      </w:r>
      <w:r>
        <w:t>covers</w:t>
      </w:r>
      <w:r>
        <w:rPr>
          <w:spacing w:val="-7"/>
        </w:rPr>
        <w:t xml:space="preserve"> </w:t>
      </w:r>
      <w:r>
        <w:t>governance</w:t>
      </w:r>
      <w:r>
        <w:rPr>
          <w:spacing w:val="-5"/>
        </w:rPr>
        <w:t xml:space="preserve"> </w:t>
      </w:r>
      <w:r>
        <w:t>and</w:t>
      </w:r>
      <w:r>
        <w:rPr>
          <w:spacing w:val="-6"/>
        </w:rPr>
        <w:t xml:space="preserve"> </w:t>
      </w:r>
      <w:r>
        <w:t>charge</w:t>
      </w:r>
      <w:r>
        <w:rPr>
          <w:spacing w:val="-5"/>
        </w:rPr>
        <w:t xml:space="preserve"> </w:t>
      </w:r>
      <w:r>
        <w:t>disclosures</w:t>
      </w:r>
      <w:r>
        <w:rPr>
          <w:spacing w:val="-5"/>
        </w:rPr>
        <w:t xml:space="preserve"> </w:t>
      </w:r>
      <w:r>
        <w:t>in</w:t>
      </w:r>
      <w:r>
        <w:rPr>
          <w:spacing w:val="-8"/>
        </w:rPr>
        <w:t xml:space="preserve"> </w:t>
      </w:r>
      <w:r>
        <w:t>relation</w:t>
      </w:r>
      <w:r>
        <w:rPr>
          <w:spacing w:val="-7"/>
        </w:rPr>
        <w:t xml:space="preserve"> </w:t>
      </w:r>
      <w:r>
        <w:t>to</w:t>
      </w:r>
      <w:r>
        <w:rPr>
          <w:spacing w:val="-7"/>
        </w:rPr>
        <w:t xml:space="preserve"> </w:t>
      </w:r>
      <w:r>
        <w:t>the</w:t>
      </w:r>
      <w:r>
        <w:rPr>
          <w:spacing w:val="-7"/>
        </w:rPr>
        <w:t xml:space="preserve"> </w:t>
      </w:r>
      <w:r>
        <w:rPr>
          <w:spacing w:val="-2"/>
        </w:rPr>
        <w:t>following:</w:t>
      </w:r>
    </w:p>
    <w:p w14:paraId="3D61819A" w14:textId="19075C39" w:rsidR="00077932" w:rsidRDefault="00077932">
      <w:pPr>
        <w:pStyle w:val="ListParagraph"/>
        <w:numPr>
          <w:ilvl w:val="0"/>
          <w:numId w:val="11"/>
        </w:numPr>
        <w:tabs>
          <w:tab w:val="left" w:pos="754"/>
        </w:tabs>
        <w:spacing w:before="251"/>
        <w:ind w:right="554"/>
      </w:pPr>
      <w:r>
        <w:t>Changes to the defined contribution arrangements over the year</w:t>
      </w:r>
    </w:p>
    <w:p w14:paraId="533F5950" w14:textId="5926B7AE" w:rsidR="00AB3475" w:rsidRDefault="00A853B3">
      <w:pPr>
        <w:pStyle w:val="ListParagraph"/>
        <w:numPr>
          <w:ilvl w:val="0"/>
          <w:numId w:val="11"/>
        </w:numPr>
        <w:tabs>
          <w:tab w:val="left" w:pos="754"/>
        </w:tabs>
        <w:spacing w:before="251"/>
        <w:ind w:right="554"/>
      </w:pPr>
      <w:r>
        <w:t>The default arrangement</w:t>
      </w:r>
      <w:r>
        <w:rPr>
          <w:spacing w:val="27"/>
        </w:rPr>
        <w:t xml:space="preserve"> </w:t>
      </w:r>
      <w:r>
        <w:t>used to invest</w:t>
      </w:r>
      <w:r>
        <w:rPr>
          <w:spacing w:val="27"/>
        </w:rPr>
        <w:t xml:space="preserve"> </w:t>
      </w:r>
      <w:r>
        <w:t>members’ funds</w:t>
      </w:r>
      <w:r>
        <w:rPr>
          <w:spacing w:val="29"/>
        </w:rPr>
        <w:t xml:space="preserve"> </w:t>
      </w:r>
      <w:r>
        <w:t>and</w:t>
      </w:r>
      <w:r>
        <w:rPr>
          <w:spacing w:val="26"/>
        </w:rPr>
        <w:t xml:space="preserve"> </w:t>
      </w:r>
      <w:r>
        <w:t>other funds</w:t>
      </w:r>
      <w:r>
        <w:rPr>
          <w:spacing w:val="26"/>
        </w:rPr>
        <w:t xml:space="preserve"> </w:t>
      </w:r>
      <w:r>
        <w:t>members</w:t>
      </w:r>
      <w:r>
        <w:rPr>
          <w:spacing w:val="26"/>
        </w:rPr>
        <w:t xml:space="preserve"> </w:t>
      </w:r>
      <w:r>
        <w:t xml:space="preserve">can </w:t>
      </w:r>
      <w:r>
        <w:rPr>
          <w:spacing w:val="-2"/>
        </w:rPr>
        <w:t>select;</w:t>
      </w:r>
    </w:p>
    <w:p w14:paraId="533F5951" w14:textId="600FB465" w:rsidR="00AB3475" w:rsidRDefault="00A853B3">
      <w:pPr>
        <w:pStyle w:val="ListParagraph"/>
        <w:numPr>
          <w:ilvl w:val="0"/>
          <w:numId w:val="11"/>
        </w:numPr>
        <w:tabs>
          <w:tab w:val="left" w:pos="764"/>
        </w:tabs>
        <w:spacing w:before="120"/>
        <w:ind w:left="764" w:hanging="207"/>
      </w:pPr>
      <w:r>
        <w:t>Net</w:t>
      </w:r>
      <w:r>
        <w:rPr>
          <w:spacing w:val="-5"/>
        </w:rPr>
        <w:t xml:space="preserve"> </w:t>
      </w:r>
      <w:r>
        <w:t>investment</w:t>
      </w:r>
      <w:r>
        <w:rPr>
          <w:spacing w:val="-6"/>
        </w:rPr>
        <w:t xml:space="preserve"> </w:t>
      </w:r>
      <w:r>
        <w:rPr>
          <w:spacing w:val="-2"/>
        </w:rPr>
        <w:t>returns;</w:t>
      </w:r>
      <w:r w:rsidR="00CA2930" w:rsidRPr="00CA2930">
        <w:t xml:space="preserve"> </w:t>
      </w:r>
      <w:r w:rsidR="00CA2930" w:rsidRPr="00CA2930">
        <w:rPr>
          <w:spacing w:val="-2"/>
        </w:rPr>
        <w:t>https://www.thepensionsregulator.gov.uk/en/document-library/scheme-management-detailed-guidance/communications-and-reporting-detailed-guidance/6-communicating-and-reporting/a-quick-guide-to-the-chairs-statement</w:t>
      </w:r>
    </w:p>
    <w:p w14:paraId="533F5952" w14:textId="77777777" w:rsidR="00AB3475" w:rsidRDefault="00A853B3">
      <w:pPr>
        <w:pStyle w:val="ListParagraph"/>
        <w:numPr>
          <w:ilvl w:val="0"/>
          <w:numId w:val="11"/>
        </w:numPr>
        <w:tabs>
          <w:tab w:val="left" w:pos="754"/>
        </w:tabs>
        <w:spacing w:before="122"/>
        <w:ind w:right="560"/>
      </w:pPr>
      <w:r>
        <w:t>The charges and transaction costs borne by members (and illustrations of the cumulative effect of these costs and charges);</w:t>
      </w:r>
    </w:p>
    <w:p w14:paraId="533F5953" w14:textId="77777777" w:rsidR="00AB3475" w:rsidRDefault="00A853B3">
      <w:pPr>
        <w:pStyle w:val="ListParagraph"/>
        <w:numPr>
          <w:ilvl w:val="0"/>
          <w:numId w:val="11"/>
        </w:numPr>
        <w:tabs>
          <w:tab w:val="left" w:pos="764"/>
        </w:tabs>
        <w:spacing w:before="118"/>
        <w:ind w:left="764" w:hanging="207"/>
      </w:pPr>
      <w:r>
        <w:t>Processing</w:t>
      </w:r>
      <w:r>
        <w:rPr>
          <w:spacing w:val="-6"/>
        </w:rPr>
        <w:t xml:space="preserve"> </w:t>
      </w:r>
      <w:r>
        <w:t>of</w:t>
      </w:r>
      <w:r>
        <w:rPr>
          <w:spacing w:val="-4"/>
        </w:rPr>
        <w:t xml:space="preserve"> </w:t>
      </w:r>
      <w:r>
        <w:t>core</w:t>
      </w:r>
      <w:r>
        <w:rPr>
          <w:spacing w:val="-9"/>
        </w:rPr>
        <w:t xml:space="preserve"> </w:t>
      </w:r>
      <w:r>
        <w:t>financial</w:t>
      </w:r>
      <w:r>
        <w:rPr>
          <w:spacing w:val="-8"/>
        </w:rPr>
        <w:t xml:space="preserve"> </w:t>
      </w:r>
      <w:r>
        <w:rPr>
          <w:spacing w:val="-2"/>
        </w:rPr>
        <w:t>transactions;</w:t>
      </w:r>
    </w:p>
    <w:p w14:paraId="533F5954" w14:textId="1C42A6EA" w:rsidR="00AB3475" w:rsidRDefault="00A853B3">
      <w:pPr>
        <w:pStyle w:val="ListParagraph"/>
        <w:numPr>
          <w:ilvl w:val="0"/>
          <w:numId w:val="11"/>
        </w:numPr>
        <w:tabs>
          <w:tab w:val="left" w:pos="764"/>
        </w:tabs>
        <w:spacing w:before="121"/>
        <w:ind w:left="764" w:hanging="207"/>
      </w:pPr>
      <w:r>
        <w:t>A</w:t>
      </w:r>
      <w:r>
        <w:rPr>
          <w:spacing w:val="-4"/>
        </w:rPr>
        <w:t xml:space="preserve"> </w:t>
      </w:r>
      <w:r>
        <w:t>value</w:t>
      </w:r>
      <w:r>
        <w:rPr>
          <w:spacing w:val="-3"/>
        </w:rPr>
        <w:t xml:space="preserve"> </w:t>
      </w:r>
      <w:r>
        <w:t>for</w:t>
      </w:r>
      <w:r>
        <w:rPr>
          <w:spacing w:val="-4"/>
        </w:rPr>
        <w:t xml:space="preserve"> </w:t>
      </w:r>
      <w:r>
        <w:t>members</w:t>
      </w:r>
      <w:r>
        <w:rPr>
          <w:spacing w:val="-4"/>
        </w:rPr>
        <w:t xml:space="preserve"> </w:t>
      </w:r>
      <w:r>
        <w:rPr>
          <w:spacing w:val="-2"/>
        </w:rPr>
        <w:t>assessment;</w:t>
      </w:r>
      <w:r w:rsidR="008C0AF2">
        <w:rPr>
          <w:spacing w:val="-2"/>
        </w:rPr>
        <w:t xml:space="preserve"> and</w:t>
      </w:r>
    </w:p>
    <w:p w14:paraId="533F5955" w14:textId="5212099B" w:rsidR="00AB3475" w:rsidRDefault="00A853B3">
      <w:pPr>
        <w:pStyle w:val="ListParagraph"/>
        <w:numPr>
          <w:ilvl w:val="0"/>
          <w:numId w:val="11"/>
        </w:numPr>
        <w:tabs>
          <w:tab w:val="left" w:pos="764"/>
        </w:tabs>
        <w:spacing w:before="119"/>
        <w:ind w:left="764" w:hanging="207"/>
      </w:pPr>
      <w:r>
        <w:t>Trustee</w:t>
      </w:r>
      <w:r>
        <w:rPr>
          <w:spacing w:val="-11"/>
        </w:rPr>
        <w:t xml:space="preserve"> </w:t>
      </w:r>
      <w:r>
        <w:t>knowledge</w:t>
      </w:r>
      <w:r>
        <w:rPr>
          <w:spacing w:val="-5"/>
        </w:rPr>
        <w:t xml:space="preserve"> </w:t>
      </w:r>
      <w:r>
        <w:t>and</w:t>
      </w:r>
      <w:r>
        <w:rPr>
          <w:spacing w:val="-9"/>
        </w:rPr>
        <w:t xml:space="preserve"> </w:t>
      </w:r>
      <w:r>
        <w:t>understanding</w:t>
      </w:r>
      <w:r w:rsidR="008C0AF2">
        <w:t>.</w:t>
      </w:r>
    </w:p>
    <w:p w14:paraId="533F5957" w14:textId="77777777" w:rsidR="00AB3475" w:rsidRDefault="00AB3475">
      <w:pPr>
        <w:pStyle w:val="BodyText"/>
      </w:pPr>
    </w:p>
    <w:p w14:paraId="533F5958" w14:textId="5BB4DED9" w:rsidR="00AB3475" w:rsidRDefault="003B29DD">
      <w:pPr>
        <w:pStyle w:val="BodyText"/>
        <w:spacing w:before="1"/>
        <w:ind w:left="199"/>
        <w:jc w:val="both"/>
      </w:pPr>
      <w:r>
        <w:t>The Fund</w:t>
      </w:r>
      <w:r>
        <w:rPr>
          <w:spacing w:val="-6"/>
        </w:rPr>
        <w:t xml:space="preserve"> </w:t>
      </w:r>
      <w:r>
        <w:t>has</w:t>
      </w:r>
      <w:r>
        <w:rPr>
          <w:spacing w:val="-7"/>
        </w:rPr>
        <w:t xml:space="preserve"> </w:t>
      </w:r>
      <w:r w:rsidR="008C0AF2">
        <w:t>two</w:t>
      </w:r>
      <w:r>
        <w:rPr>
          <w:spacing w:val="-5"/>
        </w:rPr>
        <w:t xml:space="preserve"> </w:t>
      </w:r>
      <w:r>
        <w:t>arrangements</w:t>
      </w:r>
      <w:r>
        <w:rPr>
          <w:spacing w:val="-6"/>
        </w:rPr>
        <w:t xml:space="preserve"> </w:t>
      </w:r>
      <w:r>
        <w:t>providing</w:t>
      </w:r>
      <w:r>
        <w:rPr>
          <w:spacing w:val="-3"/>
        </w:rPr>
        <w:t xml:space="preserve"> </w:t>
      </w:r>
      <w:r>
        <w:t>DC</w:t>
      </w:r>
      <w:r>
        <w:rPr>
          <w:spacing w:val="-5"/>
        </w:rPr>
        <w:t xml:space="preserve"> </w:t>
      </w:r>
      <w:r>
        <w:t>benefits</w:t>
      </w:r>
      <w:r>
        <w:rPr>
          <w:spacing w:val="-6"/>
        </w:rPr>
        <w:t xml:space="preserve"> </w:t>
      </w:r>
      <w:r>
        <w:t>to</w:t>
      </w:r>
      <w:r>
        <w:rPr>
          <w:spacing w:val="-6"/>
        </w:rPr>
        <w:t xml:space="preserve"> </w:t>
      </w:r>
      <w:r>
        <w:rPr>
          <w:spacing w:val="-2"/>
        </w:rPr>
        <w:t>members:</w:t>
      </w:r>
    </w:p>
    <w:p w14:paraId="533F5959" w14:textId="2B68766B" w:rsidR="00AB3475" w:rsidRDefault="00A853B3" w:rsidP="009B2E59">
      <w:pPr>
        <w:pStyle w:val="ListParagraph"/>
        <w:numPr>
          <w:ilvl w:val="0"/>
          <w:numId w:val="10"/>
        </w:numPr>
        <w:tabs>
          <w:tab w:val="left" w:pos="766"/>
        </w:tabs>
        <w:spacing w:before="253"/>
        <w:ind w:right="555"/>
        <w:jc w:val="both"/>
      </w:pPr>
      <w:r>
        <w:t>The</w:t>
      </w:r>
      <w:r w:rsidRPr="009B2E59">
        <w:rPr>
          <w:spacing w:val="-2"/>
        </w:rPr>
        <w:t xml:space="preserve"> </w:t>
      </w:r>
      <w:r w:rsidR="009C3777">
        <w:t>Defined Contribution Section</w:t>
      </w:r>
      <w:r>
        <w:t xml:space="preserve"> which was opened</w:t>
      </w:r>
      <w:r w:rsidRPr="009B2E59">
        <w:rPr>
          <w:spacing w:val="-2"/>
        </w:rPr>
        <w:t xml:space="preserve"> </w:t>
      </w:r>
      <w:r>
        <w:t>for new</w:t>
      </w:r>
      <w:r w:rsidRPr="009B2E59">
        <w:rPr>
          <w:spacing w:val="-2"/>
        </w:rPr>
        <w:t xml:space="preserve"> </w:t>
      </w:r>
      <w:r w:rsidR="009C3777">
        <w:t>Fund</w:t>
      </w:r>
      <w:r>
        <w:t xml:space="preserve"> entrants on</w:t>
      </w:r>
      <w:r w:rsidRPr="009B2E59">
        <w:rPr>
          <w:spacing w:val="-1"/>
        </w:rPr>
        <w:t xml:space="preserve"> </w:t>
      </w:r>
      <w:r>
        <w:t>1</w:t>
      </w:r>
      <w:r w:rsidR="00361FE3">
        <w:t> </w:t>
      </w:r>
      <w:r>
        <w:t>October</w:t>
      </w:r>
      <w:r w:rsidR="00361FE3">
        <w:t> </w:t>
      </w:r>
      <w:r w:rsidR="009C3777">
        <w:t xml:space="preserve">2010 </w:t>
      </w:r>
      <w:r>
        <w:t>(</w:t>
      </w:r>
      <w:r w:rsidR="00DC6091">
        <w:t xml:space="preserve">total </w:t>
      </w:r>
      <w:r>
        <w:t>value</w:t>
      </w:r>
      <w:r w:rsidRPr="009B2E59">
        <w:rPr>
          <w:spacing w:val="-8"/>
        </w:rPr>
        <w:t xml:space="preserve"> </w:t>
      </w:r>
      <w:r>
        <w:t>at</w:t>
      </w:r>
      <w:r w:rsidRPr="009B2E59">
        <w:rPr>
          <w:spacing w:val="-8"/>
        </w:rPr>
        <w:t xml:space="preserve"> </w:t>
      </w:r>
      <w:r>
        <w:t>31</w:t>
      </w:r>
      <w:r w:rsidRPr="009B2E59">
        <w:rPr>
          <w:spacing w:val="-10"/>
        </w:rPr>
        <w:t xml:space="preserve"> </w:t>
      </w:r>
      <w:r>
        <w:t>March</w:t>
      </w:r>
      <w:r w:rsidRPr="009B2E59">
        <w:rPr>
          <w:spacing w:val="-9"/>
        </w:rPr>
        <w:t xml:space="preserve"> </w:t>
      </w:r>
      <w:r>
        <w:t>202</w:t>
      </w:r>
      <w:r w:rsidR="009C3777">
        <w:t>5</w:t>
      </w:r>
      <w:r w:rsidRPr="009B2E59">
        <w:rPr>
          <w:spacing w:val="-8"/>
        </w:rPr>
        <w:t xml:space="preserve"> </w:t>
      </w:r>
      <w:r w:rsidR="000C7FC7" w:rsidRPr="003B0E30">
        <w:rPr>
          <w:spacing w:val="-8"/>
        </w:rPr>
        <w:t>£121,544,29</w:t>
      </w:r>
      <w:r w:rsidR="009B2E59">
        <w:rPr>
          <w:spacing w:val="-8"/>
        </w:rPr>
        <w:t>2</w:t>
      </w:r>
      <w:r>
        <w:t>).</w:t>
      </w:r>
      <w:r w:rsidRPr="009B2E59">
        <w:rPr>
          <w:spacing w:val="40"/>
        </w:rPr>
        <w:t xml:space="preserve"> </w:t>
      </w:r>
      <w:r w:rsidR="00EA49CF">
        <w:t>S</w:t>
      </w:r>
      <w:r w:rsidR="007B78ED">
        <w:t xml:space="preserve">ince 1 October 2023 </w:t>
      </w:r>
      <w:r w:rsidR="00EA49CF">
        <w:t>all active members have built up benefits in the Defined Contribution Section</w:t>
      </w:r>
      <w:r w:rsidR="00D169E1">
        <w:t xml:space="preserve">. </w:t>
      </w:r>
      <w:r w:rsidR="007B78ED">
        <w:t>T</w:t>
      </w:r>
      <w:r>
        <w:t>he</w:t>
      </w:r>
      <w:r w:rsidRPr="009B2E59">
        <w:rPr>
          <w:spacing w:val="-10"/>
        </w:rPr>
        <w:t xml:space="preserve"> </w:t>
      </w:r>
      <w:r>
        <w:t>assets</w:t>
      </w:r>
      <w:r w:rsidRPr="009B2E59">
        <w:rPr>
          <w:spacing w:val="-9"/>
        </w:rPr>
        <w:t xml:space="preserve"> </w:t>
      </w:r>
      <w:r>
        <w:t>of</w:t>
      </w:r>
      <w:r w:rsidRPr="009B2E59">
        <w:rPr>
          <w:spacing w:val="-8"/>
        </w:rPr>
        <w:t xml:space="preserve"> </w:t>
      </w:r>
      <w:r>
        <w:t>the</w:t>
      </w:r>
      <w:r w:rsidRPr="009B2E59">
        <w:rPr>
          <w:spacing w:val="-10"/>
        </w:rPr>
        <w:t xml:space="preserve"> </w:t>
      </w:r>
      <w:r w:rsidR="00E27B3F">
        <w:t>Defined Contribution</w:t>
      </w:r>
      <w:r w:rsidRPr="009B2E59">
        <w:rPr>
          <w:spacing w:val="-9"/>
        </w:rPr>
        <w:t xml:space="preserve"> </w:t>
      </w:r>
      <w:r>
        <w:t>section are managed by Legal and General Assurance Society Limited ("L&amp;G"). L&amp;G also administers</w:t>
      </w:r>
      <w:r w:rsidRPr="009B2E59">
        <w:rPr>
          <w:spacing w:val="-1"/>
        </w:rPr>
        <w:t xml:space="preserve"> </w:t>
      </w:r>
      <w:r>
        <w:t>the</w:t>
      </w:r>
      <w:r w:rsidR="00F2701F" w:rsidRPr="00F2701F">
        <w:t xml:space="preserve"> </w:t>
      </w:r>
      <w:r w:rsidR="00F2701F">
        <w:t>Defined Contribution Section</w:t>
      </w:r>
      <w:r w:rsidRPr="009B2E59">
        <w:rPr>
          <w:spacing w:val="-2"/>
        </w:rPr>
        <w:t xml:space="preserve"> </w:t>
      </w:r>
      <w:r>
        <w:t xml:space="preserve">(other administration services are provided by </w:t>
      </w:r>
      <w:r w:rsidR="00243CA3">
        <w:t>Imperial’s</w:t>
      </w:r>
      <w:r>
        <w:t xml:space="preserve"> Pensions</w:t>
      </w:r>
      <w:r w:rsidR="00243CA3">
        <w:t xml:space="preserve"> Fund</w:t>
      </w:r>
      <w:r>
        <w:t xml:space="preserve"> Office</w:t>
      </w:r>
      <w:r w:rsidR="00064E20">
        <w:t xml:space="preserve"> (“PFO”)</w:t>
      </w:r>
      <w:r>
        <w:t>)</w:t>
      </w:r>
      <w:r w:rsidR="006C375A">
        <w:t>; and</w:t>
      </w:r>
    </w:p>
    <w:p w14:paraId="533F595A" w14:textId="7918FD08" w:rsidR="00AB3475" w:rsidRDefault="00A853B3" w:rsidP="004B2432">
      <w:pPr>
        <w:pStyle w:val="ListParagraph"/>
        <w:numPr>
          <w:ilvl w:val="0"/>
          <w:numId w:val="10"/>
        </w:numPr>
        <w:ind w:right="526"/>
        <w:jc w:val="both"/>
      </w:pPr>
      <w:r>
        <w:t xml:space="preserve">Defined </w:t>
      </w:r>
      <w:r w:rsidR="00535092">
        <w:t>B</w:t>
      </w:r>
      <w:r>
        <w:t>enefit</w:t>
      </w:r>
      <w:r w:rsidR="00535092">
        <w:t xml:space="preserve"> Section</w:t>
      </w:r>
      <w:r>
        <w:t xml:space="preserve"> members' Additional Voluntary Contributions (“AVCs”) which are </w:t>
      </w:r>
      <w:r w:rsidR="006C375A">
        <w:t xml:space="preserve">also </w:t>
      </w:r>
      <w:r>
        <w:t xml:space="preserve">invested with </w:t>
      </w:r>
      <w:r w:rsidR="006C375A">
        <w:t>L&amp;G</w:t>
      </w:r>
      <w:r w:rsidR="003D2367">
        <w:t xml:space="preserve"> </w:t>
      </w:r>
      <w:r>
        <w:t xml:space="preserve">(value as at 31 March </w:t>
      </w:r>
      <w:r w:rsidRPr="00A21EF9">
        <w:t>202</w:t>
      </w:r>
      <w:r w:rsidR="003D2367" w:rsidRPr="00A21EF9">
        <w:t>5</w:t>
      </w:r>
      <w:r w:rsidRPr="00A21EF9">
        <w:t xml:space="preserve">, </w:t>
      </w:r>
      <w:r w:rsidR="00A21EF9" w:rsidRPr="00A21EF9">
        <w:t>£</w:t>
      </w:r>
      <w:r w:rsidR="00A21EF9" w:rsidRPr="003B0E30">
        <w:rPr>
          <w:rFonts w:eastAsia="Times New Roman"/>
          <w:lang w:val="en-GB" w:eastAsia="en-GB"/>
        </w:rPr>
        <w:t xml:space="preserve">2,735,699 </w:t>
      </w:r>
      <w:r w:rsidR="00DC6091">
        <w:t>is included in the total DC Section total value above</w:t>
      </w:r>
      <w:r>
        <w:t>)</w:t>
      </w:r>
      <w:r w:rsidR="006C375A">
        <w:t>.</w:t>
      </w:r>
    </w:p>
    <w:p w14:paraId="533F595E" w14:textId="2BF7636A" w:rsidR="00AB3475" w:rsidRDefault="00A853B3" w:rsidP="00664F1C">
      <w:pPr>
        <w:pStyle w:val="BodyText"/>
        <w:spacing w:before="250"/>
        <w:ind w:left="199" w:right="553"/>
        <w:jc w:val="both"/>
      </w:pPr>
      <w:r>
        <w:t xml:space="preserve">Following the </w:t>
      </w:r>
      <w:r w:rsidR="00664F1C">
        <w:t>appointment of L&amp;G</w:t>
      </w:r>
      <w:r>
        <w:t xml:space="preserve">, the Trustee agreed to offer defined benefit members access to the investment options in the </w:t>
      </w:r>
      <w:r w:rsidR="00664F1C">
        <w:t>Defined Contribution</w:t>
      </w:r>
      <w:r>
        <w:t xml:space="preserve"> </w:t>
      </w:r>
      <w:r w:rsidR="00664F1C">
        <w:t>S</w:t>
      </w:r>
      <w:r>
        <w:t>ection for the purposes</w:t>
      </w:r>
      <w:r>
        <w:rPr>
          <w:spacing w:val="-12"/>
        </w:rPr>
        <w:t xml:space="preserve"> </w:t>
      </w:r>
      <w:r>
        <w:t>of</w:t>
      </w:r>
      <w:r>
        <w:rPr>
          <w:spacing w:val="-11"/>
        </w:rPr>
        <w:t xml:space="preserve"> </w:t>
      </w:r>
      <w:r w:rsidR="00664F1C">
        <w:t>investing</w:t>
      </w:r>
      <w:r>
        <w:rPr>
          <w:spacing w:val="-10"/>
        </w:rPr>
        <w:t xml:space="preserve"> </w:t>
      </w:r>
      <w:r>
        <w:t>AVCs.</w:t>
      </w:r>
      <w:r>
        <w:rPr>
          <w:spacing w:val="-11"/>
        </w:rPr>
        <w:t xml:space="preserve"> </w:t>
      </w:r>
      <w:r>
        <w:t>These</w:t>
      </w:r>
      <w:r>
        <w:rPr>
          <w:spacing w:val="-8"/>
        </w:rPr>
        <w:t xml:space="preserve"> </w:t>
      </w:r>
      <w:r>
        <w:t>arrangements</w:t>
      </w:r>
      <w:r>
        <w:rPr>
          <w:spacing w:val="-10"/>
        </w:rPr>
        <w:t xml:space="preserve"> </w:t>
      </w:r>
      <w:r>
        <w:t>are</w:t>
      </w:r>
      <w:r>
        <w:rPr>
          <w:spacing w:val="-10"/>
        </w:rPr>
        <w:t xml:space="preserve"> </w:t>
      </w:r>
      <w:r>
        <w:t>considered</w:t>
      </w:r>
      <w:r>
        <w:rPr>
          <w:spacing w:val="-13"/>
        </w:rPr>
        <w:t xml:space="preserve"> </w:t>
      </w:r>
      <w:r>
        <w:t>as</w:t>
      </w:r>
      <w:r>
        <w:rPr>
          <w:spacing w:val="-10"/>
        </w:rPr>
        <w:t xml:space="preserve"> </w:t>
      </w:r>
      <w:r>
        <w:t>part</w:t>
      </w:r>
      <w:r>
        <w:rPr>
          <w:spacing w:val="-10"/>
        </w:rPr>
        <w:t xml:space="preserve"> </w:t>
      </w:r>
      <w:r>
        <w:t>of</w:t>
      </w:r>
      <w:r>
        <w:rPr>
          <w:spacing w:val="-11"/>
        </w:rPr>
        <w:t xml:space="preserve"> </w:t>
      </w:r>
      <w:r>
        <w:t>the</w:t>
      </w:r>
      <w:r>
        <w:rPr>
          <w:spacing w:val="-9"/>
        </w:rPr>
        <w:t xml:space="preserve"> </w:t>
      </w:r>
      <w:r w:rsidR="00664F1C">
        <w:t>Defined Contribution</w:t>
      </w:r>
      <w:r>
        <w:t xml:space="preserve"> </w:t>
      </w:r>
      <w:r w:rsidR="00664F1C">
        <w:t>S</w:t>
      </w:r>
      <w:r>
        <w:t>ection throughout this statement.</w:t>
      </w:r>
    </w:p>
    <w:p w14:paraId="3D89FD3B" w14:textId="77777777" w:rsidR="00664F1C" w:rsidRDefault="00664F1C" w:rsidP="00664F1C">
      <w:pPr>
        <w:pStyle w:val="BodyText"/>
        <w:spacing w:before="250"/>
        <w:ind w:left="199" w:right="553"/>
        <w:jc w:val="both"/>
      </w:pPr>
    </w:p>
    <w:p w14:paraId="1D3FCE09" w14:textId="1536B54C" w:rsidR="00664F1C" w:rsidRDefault="00D403DE">
      <w:pPr>
        <w:pStyle w:val="Heading2"/>
        <w:numPr>
          <w:ilvl w:val="1"/>
          <w:numId w:val="9"/>
        </w:numPr>
        <w:tabs>
          <w:tab w:val="left" w:pos="765"/>
        </w:tabs>
        <w:ind w:left="765" w:hanging="566"/>
      </w:pPr>
      <w:r>
        <w:t>Changes to the defined contribution arrangements over the year</w:t>
      </w:r>
    </w:p>
    <w:p w14:paraId="306ABB32" w14:textId="77777777" w:rsidR="00950D1F" w:rsidRDefault="00950D1F" w:rsidP="00950D1F">
      <w:pPr>
        <w:pStyle w:val="Heading2"/>
        <w:tabs>
          <w:tab w:val="left" w:pos="765"/>
        </w:tabs>
      </w:pPr>
    </w:p>
    <w:p w14:paraId="5ABEF961" w14:textId="2759286B" w:rsidR="00854190" w:rsidRPr="009B363B" w:rsidRDefault="00854190" w:rsidP="009B363B">
      <w:pPr>
        <w:pStyle w:val="Heading2"/>
        <w:tabs>
          <w:tab w:val="left" w:pos="765"/>
        </w:tabs>
        <w:ind w:right="461"/>
        <w:jc w:val="both"/>
        <w:rPr>
          <w:b w:val="0"/>
          <w:bCs w:val="0"/>
          <w:lang w:val="en-GB"/>
        </w:rPr>
      </w:pPr>
      <w:r w:rsidRPr="009B363B">
        <w:rPr>
          <w:b w:val="0"/>
          <w:bCs w:val="0"/>
        </w:rPr>
        <w:t xml:space="preserve">In 2024 </w:t>
      </w:r>
      <w:r w:rsidRPr="009B363B">
        <w:rPr>
          <w:b w:val="0"/>
          <w:bCs w:val="0"/>
          <w:lang w:val="en-GB"/>
        </w:rPr>
        <w:t xml:space="preserve">the Trustee decided that it would undertake a further in-depth review of the default arrangement and the self-select funds.  The assessment of the default arrangement was that it was fit for purpose but it was not reflective of the </w:t>
      </w:r>
      <w:r w:rsidR="00854B1C" w:rsidRPr="009B363B">
        <w:rPr>
          <w:b w:val="0"/>
          <w:bCs w:val="0"/>
          <w:lang w:val="en-GB"/>
        </w:rPr>
        <w:t>best-in-class</w:t>
      </w:r>
      <w:r w:rsidRPr="009B363B">
        <w:rPr>
          <w:b w:val="0"/>
          <w:bCs w:val="0"/>
          <w:lang w:val="en-GB"/>
        </w:rPr>
        <w:t xml:space="preserve"> arrangements available.  </w:t>
      </w:r>
    </w:p>
    <w:p w14:paraId="6B71F260" w14:textId="77777777" w:rsidR="00854190" w:rsidRPr="00854190" w:rsidRDefault="00854190" w:rsidP="009B363B">
      <w:pPr>
        <w:pStyle w:val="Heading2"/>
        <w:tabs>
          <w:tab w:val="left" w:pos="765"/>
        </w:tabs>
        <w:ind w:right="461"/>
        <w:jc w:val="both"/>
        <w:rPr>
          <w:b w:val="0"/>
          <w:bCs w:val="0"/>
          <w:lang w:val="en-GB"/>
        </w:rPr>
      </w:pPr>
    </w:p>
    <w:p w14:paraId="6E56EB08" w14:textId="0EE6924E" w:rsidR="00854190" w:rsidRPr="00854190" w:rsidRDefault="7487542D" w:rsidP="1D461D87">
      <w:pPr>
        <w:pStyle w:val="Heading2"/>
        <w:tabs>
          <w:tab w:val="left" w:pos="765"/>
        </w:tabs>
        <w:ind w:right="602"/>
        <w:jc w:val="both"/>
        <w:rPr>
          <w:b w:val="0"/>
          <w:bCs w:val="0"/>
        </w:rPr>
      </w:pPr>
      <w:r w:rsidRPr="1D461D87">
        <w:rPr>
          <w:b w:val="0"/>
          <w:bCs w:val="0"/>
        </w:rPr>
        <w:t xml:space="preserve">In considering what arrangements are appropriate for the Fund, the Trustee also considered the pros and cons of having a bespoke own design default (as </w:t>
      </w:r>
      <w:r w:rsidR="0CBE043C" w:rsidRPr="1D461D87">
        <w:rPr>
          <w:b w:val="0"/>
          <w:bCs w:val="0"/>
        </w:rPr>
        <w:t>was in place</w:t>
      </w:r>
      <w:r w:rsidR="11B622CD" w:rsidRPr="1D461D87">
        <w:rPr>
          <w:b w:val="0"/>
          <w:bCs w:val="0"/>
        </w:rPr>
        <w:t xml:space="preserve"> with Aegon</w:t>
      </w:r>
      <w:r w:rsidRPr="1D461D87">
        <w:rPr>
          <w:b w:val="0"/>
          <w:bCs w:val="0"/>
        </w:rPr>
        <w:t xml:space="preserve">) or a provider’s own off the shelf default arrangement.  The Trustees </w:t>
      </w:r>
      <w:proofErr w:type="spellStart"/>
      <w:r w:rsidRPr="1D461D87">
        <w:rPr>
          <w:b w:val="0"/>
          <w:bCs w:val="0"/>
        </w:rPr>
        <w:t>recognised</w:t>
      </w:r>
      <w:proofErr w:type="spellEnd"/>
      <w:r w:rsidRPr="1D461D87">
        <w:rPr>
          <w:b w:val="0"/>
          <w:bCs w:val="0"/>
        </w:rPr>
        <w:t xml:space="preserve"> that default arrangement design has evolved, with competitive charges available from providers, since the Fund’s arrangement was put in place.  In </w:t>
      </w:r>
      <w:r w:rsidR="342ADF48" w:rsidRPr="1D461D87">
        <w:rPr>
          <w:b w:val="0"/>
          <w:bCs w:val="0"/>
        </w:rPr>
        <w:t>addition,</w:t>
      </w:r>
      <w:r w:rsidRPr="1D461D87">
        <w:rPr>
          <w:b w:val="0"/>
          <w:bCs w:val="0"/>
        </w:rPr>
        <w:t xml:space="preserve"> providers offer interactive member experience from joining a pension scheme to retirement. </w:t>
      </w:r>
      <w:r w:rsidR="140C5423" w:rsidRPr="1D461D87">
        <w:rPr>
          <w:b w:val="0"/>
          <w:bCs w:val="0"/>
        </w:rPr>
        <w:t xml:space="preserve"> </w:t>
      </w:r>
      <w:r w:rsidRPr="1D461D87">
        <w:rPr>
          <w:b w:val="0"/>
          <w:bCs w:val="0"/>
        </w:rPr>
        <w:t>The Trustee</w:t>
      </w:r>
      <w:r w:rsidR="140C5423" w:rsidRPr="1D461D87">
        <w:rPr>
          <w:b w:val="0"/>
          <w:bCs w:val="0"/>
        </w:rPr>
        <w:t xml:space="preserve"> </w:t>
      </w:r>
      <w:r w:rsidR="36E311D8" w:rsidRPr="1D461D87">
        <w:rPr>
          <w:b w:val="0"/>
          <w:bCs w:val="0"/>
        </w:rPr>
        <w:t>has</w:t>
      </w:r>
      <w:r w:rsidRPr="1D461D87">
        <w:rPr>
          <w:b w:val="0"/>
          <w:bCs w:val="0"/>
        </w:rPr>
        <w:t xml:space="preserve"> concluded the review of the default arrangement</w:t>
      </w:r>
      <w:r w:rsidR="36E311D8" w:rsidRPr="1D461D87">
        <w:rPr>
          <w:b w:val="0"/>
          <w:bCs w:val="0"/>
        </w:rPr>
        <w:t xml:space="preserve"> and other funds</w:t>
      </w:r>
      <w:r w:rsidRPr="1D461D87">
        <w:rPr>
          <w:b w:val="0"/>
          <w:bCs w:val="0"/>
        </w:rPr>
        <w:t xml:space="preserve">.  </w:t>
      </w:r>
    </w:p>
    <w:p w14:paraId="068449CD" w14:textId="17837770" w:rsidR="00DC7619" w:rsidRPr="009B363B" w:rsidRDefault="00DC7619" w:rsidP="009B363B">
      <w:pPr>
        <w:pStyle w:val="Heading2"/>
        <w:tabs>
          <w:tab w:val="left" w:pos="765"/>
        </w:tabs>
        <w:ind w:right="602"/>
        <w:jc w:val="both"/>
        <w:rPr>
          <w:b w:val="0"/>
          <w:bCs w:val="0"/>
        </w:rPr>
      </w:pPr>
    </w:p>
    <w:p w14:paraId="1C8A98C5" w14:textId="2103CB2A" w:rsidR="00D403DE" w:rsidRPr="001B7016" w:rsidRDefault="00A72CFF" w:rsidP="009B363B">
      <w:pPr>
        <w:pStyle w:val="Heading2"/>
        <w:tabs>
          <w:tab w:val="left" w:pos="765"/>
        </w:tabs>
        <w:ind w:right="602"/>
        <w:jc w:val="both"/>
        <w:rPr>
          <w:b w:val="0"/>
          <w:bCs w:val="0"/>
        </w:rPr>
      </w:pPr>
      <w:r w:rsidRPr="009B363B">
        <w:rPr>
          <w:b w:val="0"/>
          <w:bCs w:val="0"/>
        </w:rPr>
        <w:t>As a result of the review the Trustee agreed</w:t>
      </w:r>
      <w:r>
        <w:rPr>
          <w:b w:val="0"/>
          <w:bCs w:val="0"/>
        </w:rPr>
        <w:t xml:space="preserve"> to appoint L&amp;G </w:t>
      </w:r>
      <w:r w:rsidR="00A33424">
        <w:rPr>
          <w:b w:val="0"/>
          <w:bCs w:val="0"/>
        </w:rPr>
        <w:t xml:space="preserve">as investment and administration provider, replacing the incumbent, Aegon.  From 1 October 2024 contributions from active members were paid to L&amp;G and </w:t>
      </w:r>
      <w:r w:rsidR="008A0710">
        <w:rPr>
          <w:b w:val="0"/>
          <w:bCs w:val="0"/>
        </w:rPr>
        <w:t>on 8</w:t>
      </w:r>
      <w:r w:rsidR="00A33424">
        <w:rPr>
          <w:b w:val="0"/>
          <w:bCs w:val="0"/>
        </w:rPr>
        <w:t xml:space="preserve"> January 2025 the funds held by Aegon for active and deferred members of the D</w:t>
      </w:r>
      <w:r w:rsidR="000A56B0">
        <w:rPr>
          <w:b w:val="0"/>
          <w:bCs w:val="0"/>
        </w:rPr>
        <w:t xml:space="preserve">efined Contribution section were transferred to L&amp;G.  At the same time the Trustee also reviewed the arrangements for Defined Benefits members with AVC savings.  It agreed to make the same arrangements with L&amp;G available to those members.  On 10 February 2025 the </w:t>
      </w:r>
      <w:r w:rsidR="00F74F41">
        <w:rPr>
          <w:b w:val="0"/>
          <w:bCs w:val="0"/>
        </w:rPr>
        <w:t xml:space="preserve">AVC funds for Defined Benefits members were transferred to L&amp;G.  </w:t>
      </w:r>
      <w:r w:rsidR="00CE138E" w:rsidRPr="00CE138E">
        <w:rPr>
          <w:b w:val="0"/>
          <w:bCs w:val="0"/>
        </w:rPr>
        <w:t xml:space="preserve">The change for members </w:t>
      </w:r>
      <w:r w:rsidR="00CE138E">
        <w:rPr>
          <w:b w:val="0"/>
          <w:bCs w:val="0"/>
        </w:rPr>
        <w:t xml:space="preserve">provided members with </w:t>
      </w:r>
      <w:r w:rsidR="00CE138E" w:rsidRPr="00CE138E">
        <w:rPr>
          <w:b w:val="0"/>
          <w:bCs w:val="0"/>
        </w:rPr>
        <w:t>access to more investment options, with lower charges</w:t>
      </w:r>
      <w:r w:rsidR="00CE138E">
        <w:rPr>
          <w:b w:val="0"/>
          <w:bCs w:val="0"/>
        </w:rPr>
        <w:t xml:space="preserve">. </w:t>
      </w:r>
      <w:r w:rsidR="001B7016" w:rsidRPr="001B7016">
        <w:rPr>
          <w:b w:val="0"/>
          <w:bCs w:val="0"/>
        </w:rPr>
        <w:t xml:space="preserve">For members who had savings invested in the Aegon High Equity With-profits Fund the Trustee provided a one-off uplift payment in the value of </w:t>
      </w:r>
      <w:r w:rsidR="00FE237B">
        <w:rPr>
          <w:b w:val="0"/>
          <w:bCs w:val="0"/>
        </w:rPr>
        <w:t>the</w:t>
      </w:r>
      <w:r w:rsidR="001B7016" w:rsidRPr="001B7016">
        <w:rPr>
          <w:b w:val="0"/>
          <w:bCs w:val="0"/>
        </w:rPr>
        <w:t xml:space="preserve"> AVC benefits paid into the new L&amp;G arrangement. This was in recognition that the With-profits Fund had the potential to grow through regular ‘bonuses’ and a final bonus that was paid out when the policy c</w:t>
      </w:r>
      <w:r w:rsidR="00FE237B">
        <w:rPr>
          <w:b w:val="0"/>
          <w:bCs w:val="0"/>
        </w:rPr>
        <w:t>ame</w:t>
      </w:r>
      <w:r w:rsidR="001B7016" w:rsidRPr="001B7016">
        <w:rPr>
          <w:b w:val="0"/>
          <w:bCs w:val="0"/>
        </w:rPr>
        <w:t xml:space="preserve"> to an end (including on transfer to L&amp;G)</w:t>
      </w:r>
      <w:r w:rsidR="00FE237B">
        <w:rPr>
          <w:b w:val="0"/>
          <w:bCs w:val="0"/>
        </w:rPr>
        <w:t>.  T</w:t>
      </w:r>
      <w:r w:rsidR="001B7016" w:rsidRPr="001B7016">
        <w:rPr>
          <w:b w:val="0"/>
          <w:bCs w:val="0"/>
        </w:rPr>
        <w:t>he payment was provided to give more certainty that relevant members would be no worse off following the transfer to L&amp;G.</w:t>
      </w:r>
    </w:p>
    <w:p w14:paraId="7DD6B9AD" w14:textId="77777777" w:rsidR="00D403DE" w:rsidRPr="00CE138E" w:rsidRDefault="00D403DE" w:rsidP="00D403DE">
      <w:pPr>
        <w:pStyle w:val="Heading2"/>
        <w:tabs>
          <w:tab w:val="left" w:pos="765"/>
        </w:tabs>
        <w:rPr>
          <w:b w:val="0"/>
          <w:bCs w:val="0"/>
        </w:rPr>
      </w:pPr>
    </w:p>
    <w:p w14:paraId="6906B1D8" w14:textId="77777777" w:rsidR="00DC7619" w:rsidRPr="00DC7619" w:rsidRDefault="00DC7619" w:rsidP="00F17905">
      <w:pPr>
        <w:pStyle w:val="ListParagraph"/>
        <w:tabs>
          <w:tab w:val="left" w:pos="851"/>
        </w:tabs>
        <w:ind w:left="360" w:firstLine="0"/>
        <w:outlineLvl w:val="1"/>
        <w:rPr>
          <w:b/>
          <w:bCs/>
          <w:vanish/>
        </w:rPr>
      </w:pPr>
    </w:p>
    <w:p w14:paraId="533F595F" w14:textId="17350B7E" w:rsidR="00AB3475" w:rsidRDefault="00A853B3" w:rsidP="00DC7619">
      <w:pPr>
        <w:pStyle w:val="Heading2"/>
        <w:numPr>
          <w:ilvl w:val="1"/>
          <w:numId w:val="13"/>
        </w:numPr>
        <w:tabs>
          <w:tab w:val="left" w:pos="851"/>
        </w:tabs>
        <w:ind w:left="631"/>
      </w:pPr>
      <w:r>
        <w:t>The</w:t>
      </w:r>
      <w:r>
        <w:rPr>
          <w:spacing w:val="-4"/>
        </w:rPr>
        <w:t xml:space="preserve"> </w:t>
      </w:r>
      <w:r>
        <w:t>default</w:t>
      </w:r>
      <w:r>
        <w:rPr>
          <w:spacing w:val="-4"/>
        </w:rPr>
        <w:t xml:space="preserve"> </w:t>
      </w:r>
      <w:r>
        <w:rPr>
          <w:spacing w:val="-2"/>
        </w:rPr>
        <w:t>arrangement</w:t>
      </w:r>
    </w:p>
    <w:p w14:paraId="533F5960" w14:textId="77777777" w:rsidR="00AB3475" w:rsidRDefault="00AB3475">
      <w:pPr>
        <w:pStyle w:val="BodyText"/>
        <w:spacing w:before="120"/>
        <w:rPr>
          <w:b/>
        </w:rPr>
      </w:pPr>
    </w:p>
    <w:p w14:paraId="533F5961" w14:textId="04CE0B92" w:rsidR="00AB3475" w:rsidRDefault="00A853B3" w:rsidP="00E43394">
      <w:pPr>
        <w:pStyle w:val="BodyText"/>
        <w:ind w:left="199" w:right="526"/>
        <w:jc w:val="both"/>
      </w:pPr>
      <w:r>
        <w:t>The</w:t>
      </w:r>
      <w:r>
        <w:rPr>
          <w:spacing w:val="-9"/>
        </w:rPr>
        <w:t xml:space="preserve"> </w:t>
      </w:r>
      <w:r w:rsidR="00E27B3F">
        <w:t>Defined Contribution</w:t>
      </w:r>
      <w:r>
        <w:rPr>
          <w:spacing w:val="-3"/>
        </w:rPr>
        <w:t xml:space="preserve"> </w:t>
      </w:r>
      <w:r>
        <w:t>section</w:t>
      </w:r>
      <w:r>
        <w:rPr>
          <w:spacing w:val="-4"/>
        </w:rPr>
        <w:t xml:space="preserve"> </w:t>
      </w:r>
      <w:r>
        <w:t>is</w:t>
      </w:r>
      <w:r>
        <w:rPr>
          <w:spacing w:val="-5"/>
        </w:rPr>
        <w:t xml:space="preserve"> </w:t>
      </w:r>
      <w:r>
        <w:t>used</w:t>
      </w:r>
      <w:r>
        <w:rPr>
          <w:spacing w:val="-6"/>
        </w:rPr>
        <w:t xml:space="preserve"> </w:t>
      </w:r>
      <w:r>
        <w:t>as</w:t>
      </w:r>
      <w:r>
        <w:rPr>
          <w:spacing w:val="-7"/>
        </w:rPr>
        <w:t xml:space="preserve"> </w:t>
      </w:r>
      <w:r>
        <w:t>a</w:t>
      </w:r>
      <w:r>
        <w:rPr>
          <w:spacing w:val="-6"/>
        </w:rPr>
        <w:t xml:space="preserve"> </w:t>
      </w:r>
      <w:r>
        <w:t>Qualifying</w:t>
      </w:r>
      <w:r>
        <w:rPr>
          <w:spacing w:val="-4"/>
        </w:rPr>
        <w:t xml:space="preserve"> </w:t>
      </w:r>
      <w:r>
        <w:t>Scheme</w:t>
      </w:r>
      <w:r>
        <w:rPr>
          <w:spacing w:val="-7"/>
        </w:rPr>
        <w:t xml:space="preserve"> </w:t>
      </w:r>
      <w:r>
        <w:t>for</w:t>
      </w:r>
      <w:r>
        <w:rPr>
          <w:spacing w:val="-5"/>
        </w:rPr>
        <w:t xml:space="preserve"> </w:t>
      </w:r>
      <w:r>
        <w:t>auto-enrolment</w:t>
      </w:r>
      <w:r>
        <w:rPr>
          <w:spacing w:val="-5"/>
        </w:rPr>
        <w:t xml:space="preserve"> </w:t>
      </w:r>
      <w:r>
        <w:rPr>
          <w:spacing w:val="-2"/>
        </w:rPr>
        <w:t>purposes.</w:t>
      </w:r>
    </w:p>
    <w:p w14:paraId="533F5962" w14:textId="77777777" w:rsidR="00AB3475" w:rsidRDefault="00AB3475">
      <w:pPr>
        <w:pStyle w:val="BodyText"/>
      </w:pPr>
    </w:p>
    <w:p w14:paraId="533F5963" w14:textId="245780CE" w:rsidR="00AB3475" w:rsidRDefault="00A853B3">
      <w:pPr>
        <w:pStyle w:val="BodyText"/>
        <w:spacing w:before="1"/>
        <w:ind w:left="199" w:right="554"/>
        <w:jc w:val="both"/>
      </w:pPr>
      <w:r>
        <w:t xml:space="preserve">When members are automatically enrolled into the </w:t>
      </w:r>
      <w:r w:rsidR="00E27B3F">
        <w:t>Defined Contribution</w:t>
      </w:r>
      <w:r>
        <w:t xml:space="preserve"> section, their retirement age is</w:t>
      </w:r>
      <w:r>
        <w:rPr>
          <w:spacing w:val="-1"/>
        </w:rPr>
        <w:t xml:space="preserve"> </w:t>
      </w:r>
      <w:r>
        <w:t xml:space="preserve">set as </w:t>
      </w:r>
      <w:r w:rsidR="000C4BFA">
        <w:t>age 65</w:t>
      </w:r>
      <w:r>
        <w:t xml:space="preserve"> and</w:t>
      </w:r>
      <w:r>
        <w:rPr>
          <w:spacing w:val="-2"/>
        </w:rPr>
        <w:t xml:space="preserve"> </w:t>
      </w:r>
      <w:r>
        <w:t>contributions are invested in</w:t>
      </w:r>
      <w:r>
        <w:rPr>
          <w:spacing w:val="-2"/>
        </w:rPr>
        <w:t xml:space="preserve"> </w:t>
      </w:r>
      <w:r>
        <w:t>the default arrangement, which is the L&amp;G PMC Target Date Funds 3 range of funds.</w:t>
      </w:r>
    </w:p>
    <w:p w14:paraId="533F5964" w14:textId="77777777" w:rsidR="00AB3475" w:rsidRDefault="00AB3475">
      <w:pPr>
        <w:pStyle w:val="BodyText"/>
      </w:pPr>
    </w:p>
    <w:p w14:paraId="533F5965" w14:textId="7EEDF116" w:rsidR="00AB3475" w:rsidRDefault="00A853B3">
      <w:pPr>
        <w:pStyle w:val="BodyText"/>
        <w:spacing w:before="1"/>
        <w:ind w:left="199" w:right="557"/>
        <w:jc w:val="both"/>
      </w:pPr>
      <w:r>
        <w:t>The</w:t>
      </w:r>
      <w:r>
        <w:rPr>
          <w:spacing w:val="-16"/>
        </w:rPr>
        <w:t xml:space="preserve"> </w:t>
      </w:r>
      <w:r>
        <w:t>Trustee</w:t>
      </w:r>
      <w:r>
        <w:rPr>
          <w:spacing w:val="-15"/>
        </w:rPr>
        <w:t xml:space="preserve"> </w:t>
      </w:r>
      <w:r>
        <w:t>is</w:t>
      </w:r>
      <w:r>
        <w:rPr>
          <w:spacing w:val="-15"/>
        </w:rPr>
        <w:t xml:space="preserve"> </w:t>
      </w:r>
      <w:r>
        <w:t>required</w:t>
      </w:r>
      <w:r>
        <w:rPr>
          <w:spacing w:val="-16"/>
        </w:rPr>
        <w:t xml:space="preserve"> </w:t>
      </w:r>
      <w:r>
        <w:t>to</w:t>
      </w:r>
      <w:r>
        <w:rPr>
          <w:spacing w:val="-15"/>
        </w:rPr>
        <w:t xml:space="preserve"> </w:t>
      </w:r>
      <w:r>
        <w:t>design</w:t>
      </w:r>
      <w:r>
        <w:rPr>
          <w:spacing w:val="-15"/>
        </w:rPr>
        <w:t xml:space="preserve"> </w:t>
      </w:r>
      <w:r>
        <w:t>the</w:t>
      </w:r>
      <w:r>
        <w:rPr>
          <w:spacing w:val="-15"/>
        </w:rPr>
        <w:t xml:space="preserve"> </w:t>
      </w:r>
      <w:r>
        <w:t>default</w:t>
      </w:r>
      <w:r>
        <w:rPr>
          <w:spacing w:val="-16"/>
        </w:rPr>
        <w:t xml:space="preserve"> </w:t>
      </w:r>
      <w:r>
        <w:t>arrangement</w:t>
      </w:r>
      <w:r>
        <w:rPr>
          <w:spacing w:val="-15"/>
        </w:rPr>
        <w:t xml:space="preserve"> </w:t>
      </w:r>
      <w:r>
        <w:t>in</w:t>
      </w:r>
      <w:r>
        <w:rPr>
          <w:spacing w:val="-15"/>
        </w:rPr>
        <w:t xml:space="preserve"> </w:t>
      </w:r>
      <w:r>
        <w:t>members'</w:t>
      </w:r>
      <w:r>
        <w:rPr>
          <w:spacing w:val="-16"/>
        </w:rPr>
        <w:t xml:space="preserve"> </w:t>
      </w:r>
      <w:r>
        <w:t>interests</w:t>
      </w:r>
      <w:r>
        <w:rPr>
          <w:spacing w:val="-15"/>
        </w:rPr>
        <w:t xml:space="preserve"> </w:t>
      </w:r>
      <w:r>
        <w:t>and</w:t>
      </w:r>
      <w:r>
        <w:rPr>
          <w:spacing w:val="-15"/>
        </w:rPr>
        <w:t xml:space="preserve"> </w:t>
      </w:r>
      <w:r>
        <w:t>keep</w:t>
      </w:r>
      <w:r>
        <w:rPr>
          <w:spacing w:val="-15"/>
        </w:rPr>
        <w:t xml:space="preserve"> </w:t>
      </w:r>
      <w:r>
        <w:t>it</w:t>
      </w:r>
      <w:r>
        <w:rPr>
          <w:spacing w:val="-14"/>
        </w:rPr>
        <w:t xml:space="preserve"> </w:t>
      </w:r>
      <w:r>
        <w:t>under review.</w:t>
      </w:r>
      <w:r>
        <w:rPr>
          <w:spacing w:val="40"/>
        </w:rPr>
        <w:t xml:space="preserve"> </w:t>
      </w:r>
      <w:r>
        <w:t>The</w:t>
      </w:r>
      <w:r>
        <w:rPr>
          <w:spacing w:val="-4"/>
        </w:rPr>
        <w:t xml:space="preserve"> </w:t>
      </w:r>
      <w:r>
        <w:t>Trustee needs to</w:t>
      </w:r>
      <w:r>
        <w:rPr>
          <w:spacing w:val="-2"/>
        </w:rPr>
        <w:t xml:space="preserve"> </w:t>
      </w:r>
      <w:r>
        <w:t>set out the aims and objectives of the</w:t>
      </w:r>
      <w:r>
        <w:rPr>
          <w:spacing w:val="-2"/>
        </w:rPr>
        <w:t xml:space="preserve"> </w:t>
      </w:r>
      <w:r>
        <w:t xml:space="preserve">default investment strategy and take account of the level of costs and the risk profile that are appropriate for </w:t>
      </w:r>
      <w:r w:rsidR="003B29DD">
        <w:t>the Fund</w:t>
      </w:r>
      <w:r>
        <w:t xml:space="preserve">'s </w:t>
      </w:r>
      <w:r>
        <w:rPr>
          <w:spacing w:val="-2"/>
        </w:rPr>
        <w:t>membership.</w:t>
      </w:r>
    </w:p>
    <w:p w14:paraId="533F5966" w14:textId="77777777" w:rsidR="00AB3475" w:rsidRDefault="00AB3475">
      <w:pPr>
        <w:pStyle w:val="BodyText"/>
      </w:pPr>
    </w:p>
    <w:p w14:paraId="533F5967" w14:textId="7BFF4383" w:rsidR="00AB3475" w:rsidRDefault="00A853B3">
      <w:pPr>
        <w:pStyle w:val="BodyText"/>
        <w:ind w:left="199" w:right="553"/>
        <w:jc w:val="both"/>
      </w:pPr>
      <w:r>
        <w:t xml:space="preserve">Details of the objectives and the Trustee's policies regarding the default arrangement can be found in the ‘Statement of Investment Principles’ ("SIP"). </w:t>
      </w:r>
      <w:r w:rsidR="003B29DD">
        <w:t>The Fund</w:t>
      </w:r>
      <w:r>
        <w:t>'s current SIP is included at the end of this statement</w:t>
      </w:r>
      <w:r w:rsidR="00813ED4">
        <w:t xml:space="preserve">.  The SIP was updated in January 2025 to reflect the changes in the arrangements in the Fund year and </w:t>
      </w:r>
      <w:r>
        <w:t>to include the Trustee’s policy on investing in illiquid assets.</w:t>
      </w:r>
    </w:p>
    <w:p w14:paraId="564AEAA1" w14:textId="77777777" w:rsidR="003F1A14" w:rsidRDefault="003F1A14">
      <w:pPr>
        <w:pStyle w:val="BodyText"/>
        <w:ind w:left="199" w:right="553"/>
        <w:jc w:val="both"/>
      </w:pPr>
    </w:p>
    <w:p w14:paraId="1E4B653F" w14:textId="0E026058" w:rsidR="003F1A14" w:rsidRDefault="003F1A14">
      <w:pPr>
        <w:pStyle w:val="BodyText"/>
        <w:ind w:left="199" w:right="553"/>
        <w:jc w:val="both"/>
      </w:pPr>
      <w:r>
        <w:t xml:space="preserve">As mentioned above the investments were moved from Aegon to L&amp;G during the year.  Details of the default arrangement managed by Aegon that was in place for the first part of the year </w:t>
      </w:r>
      <w:r w:rsidR="001F78CA">
        <w:t xml:space="preserve">and have now been superseded are included in an annex to this statement.  This section provides details of the current default arrangement managed by L&amp;G.  </w:t>
      </w:r>
    </w:p>
    <w:p w14:paraId="533F5968" w14:textId="77777777" w:rsidR="00AB3475" w:rsidRDefault="00AB3475">
      <w:pPr>
        <w:pStyle w:val="BodyText"/>
      </w:pPr>
    </w:p>
    <w:p w14:paraId="533F5969" w14:textId="73A8C718" w:rsidR="00AB3475" w:rsidRDefault="00A853B3">
      <w:pPr>
        <w:pStyle w:val="BodyText"/>
        <w:ind w:left="199"/>
        <w:jc w:val="both"/>
        <w:rPr>
          <w:spacing w:val="-1"/>
        </w:rPr>
      </w:pPr>
      <w:r>
        <w:t>The</w:t>
      </w:r>
      <w:r>
        <w:rPr>
          <w:spacing w:val="-10"/>
        </w:rPr>
        <w:t xml:space="preserve"> </w:t>
      </w:r>
      <w:r>
        <w:t>aims</w:t>
      </w:r>
      <w:r>
        <w:rPr>
          <w:spacing w:val="-2"/>
        </w:rPr>
        <w:t xml:space="preserve"> </w:t>
      </w:r>
      <w:r>
        <w:t>of</w:t>
      </w:r>
      <w:r>
        <w:rPr>
          <w:spacing w:val="-3"/>
        </w:rPr>
        <w:t xml:space="preserve"> </w:t>
      </w:r>
      <w:r>
        <w:t>the</w:t>
      </w:r>
      <w:r>
        <w:rPr>
          <w:spacing w:val="-5"/>
        </w:rPr>
        <w:t xml:space="preserve"> </w:t>
      </w:r>
      <w:r>
        <w:t>default</w:t>
      </w:r>
      <w:r>
        <w:rPr>
          <w:spacing w:val="-1"/>
        </w:rPr>
        <w:t xml:space="preserve"> </w:t>
      </w:r>
      <w:r w:rsidR="00FA3743">
        <w:t>fund</w:t>
      </w:r>
      <w:r w:rsidR="004963BD">
        <w:t xml:space="preserve"> are detailed in the SIP.  Extracts</w:t>
      </w:r>
      <w:r>
        <w:rPr>
          <w:spacing w:val="-1"/>
        </w:rPr>
        <w:t xml:space="preserve"> </w:t>
      </w:r>
      <w:r w:rsidR="00FA3743">
        <w:rPr>
          <w:spacing w:val="-1"/>
        </w:rPr>
        <w:t>are set out below</w:t>
      </w:r>
      <w:r w:rsidR="005E6B27">
        <w:rPr>
          <w:spacing w:val="-1"/>
        </w:rPr>
        <w:t xml:space="preserve">: </w:t>
      </w:r>
    </w:p>
    <w:p w14:paraId="45E29FE2" w14:textId="77777777" w:rsidR="00FA3743" w:rsidRDefault="00FA3743">
      <w:pPr>
        <w:pStyle w:val="BodyText"/>
        <w:ind w:left="199"/>
        <w:jc w:val="both"/>
        <w:rPr>
          <w:spacing w:val="-1"/>
        </w:rPr>
      </w:pPr>
    </w:p>
    <w:p w14:paraId="4116F8F5" w14:textId="77777777" w:rsidR="00FA3743" w:rsidRDefault="00FA3743" w:rsidP="00C46B43">
      <w:pPr>
        <w:pStyle w:val="ListParagraph"/>
        <w:numPr>
          <w:ilvl w:val="0"/>
          <w:numId w:val="20"/>
        </w:numPr>
        <w:ind w:right="602"/>
        <w:jc w:val="both"/>
      </w:pPr>
      <w:r>
        <w:t>The fund aims to help investors build their real retirement income, whilst managing possible downside risk. The asset allocation of the Fund aims to be aligned with the members’ chosen retirement goals in the run-up to retirement.</w:t>
      </w:r>
    </w:p>
    <w:p w14:paraId="295996DD" w14:textId="77777777" w:rsidR="00FA3743" w:rsidRDefault="00FA3743" w:rsidP="00C46B43">
      <w:pPr>
        <w:ind w:right="602"/>
        <w:jc w:val="both"/>
      </w:pPr>
    </w:p>
    <w:p w14:paraId="6CFD572D" w14:textId="77777777" w:rsidR="00FA3743" w:rsidRDefault="00FA3743" w:rsidP="00C46B43">
      <w:pPr>
        <w:pStyle w:val="ListParagraph"/>
        <w:numPr>
          <w:ilvl w:val="0"/>
          <w:numId w:val="20"/>
        </w:numPr>
        <w:ind w:right="602"/>
        <w:jc w:val="both"/>
      </w:pPr>
      <w:r>
        <w:t>The fund is part of a range of funds designed to help meet the needs of investors that share anticipated target retirement dates. The fund provides exposure to a range of different asset classes that may include equities, bonds, property, commodities, and listed infrastructure, private equity, private credit and global real estate companies, which may be actively or passively managed. The asset allocation of the fund is managed by LGIM and evolves over time. There are four investment phases; ‘growth’, ‘steady growth’, ‘preparing for retirement’ and ‘retirement’, depending on how close investors are to retirement. Over time, as investors move through the four phases, the proportion of riskier investments, such as equities is decreased and the proportion of less risky investments, such as government and corporate bonds is increased.</w:t>
      </w:r>
    </w:p>
    <w:p w14:paraId="533F596A" w14:textId="77777777" w:rsidR="00AB3475" w:rsidRDefault="00AB3475" w:rsidP="00C46B43">
      <w:pPr>
        <w:pStyle w:val="BodyText"/>
        <w:spacing w:before="2"/>
        <w:ind w:right="602"/>
        <w:jc w:val="both"/>
      </w:pPr>
    </w:p>
    <w:p w14:paraId="533F596E" w14:textId="77777777" w:rsidR="00AB3475" w:rsidRDefault="00A853B3">
      <w:pPr>
        <w:pStyle w:val="BodyText"/>
        <w:spacing w:before="251"/>
        <w:ind w:left="199" w:right="553"/>
        <w:jc w:val="both"/>
      </w:pPr>
      <w:r>
        <w:t>The L&amp;G PMC Target Date Funds 3 adjust the way members’ pension savings are invested as they</w:t>
      </w:r>
      <w:r>
        <w:rPr>
          <w:spacing w:val="-16"/>
        </w:rPr>
        <w:t xml:space="preserve"> </w:t>
      </w:r>
      <w:r>
        <w:t>move</w:t>
      </w:r>
      <w:r>
        <w:rPr>
          <w:spacing w:val="-15"/>
        </w:rPr>
        <w:t xml:space="preserve"> </w:t>
      </w:r>
      <w:r>
        <w:t>closer</w:t>
      </w:r>
      <w:r>
        <w:rPr>
          <w:spacing w:val="-15"/>
        </w:rPr>
        <w:t xml:space="preserve"> </w:t>
      </w:r>
      <w:r>
        <w:t>to</w:t>
      </w:r>
      <w:r>
        <w:rPr>
          <w:spacing w:val="-14"/>
        </w:rPr>
        <w:t xml:space="preserve"> </w:t>
      </w:r>
      <w:r>
        <w:t>retirement,</w:t>
      </w:r>
      <w:r>
        <w:rPr>
          <w:spacing w:val="-12"/>
        </w:rPr>
        <w:t xml:space="preserve"> </w:t>
      </w:r>
      <w:r>
        <w:t>spreading</w:t>
      </w:r>
      <w:r>
        <w:rPr>
          <w:spacing w:val="-14"/>
        </w:rPr>
        <w:t xml:space="preserve"> </w:t>
      </w:r>
      <w:r>
        <w:t>risk</w:t>
      </w:r>
      <w:r>
        <w:rPr>
          <w:spacing w:val="-13"/>
        </w:rPr>
        <w:t xml:space="preserve"> </w:t>
      </w:r>
      <w:r>
        <w:t>by</w:t>
      </w:r>
      <w:r>
        <w:rPr>
          <w:spacing w:val="-16"/>
        </w:rPr>
        <w:t xml:space="preserve"> </w:t>
      </w:r>
      <w:r>
        <w:t>investing</w:t>
      </w:r>
      <w:r>
        <w:rPr>
          <w:spacing w:val="-12"/>
        </w:rPr>
        <w:t xml:space="preserve"> </w:t>
      </w:r>
      <w:r>
        <w:t>in</w:t>
      </w:r>
      <w:r>
        <w:rPr>
          <w:spacing w:val="-14"/>
        </w:rPr>
        <w:t xml:space="preserve"> </w:t>
      </w:r>
      <w:r>
        <w:t>a</w:t>
      </w:r>
      <w:r>
        <w:rPr>
          <w:spacing w:val="-16"/>
        </w:rPr>
        <w:t xml:space="preserve"> </w:t>
      </w:r>
      <w:r>
        <w:t>range</w:t>
      </w:r>
      <w:r>
        <w:rPr>
          <w:spacing w:val="-13"/>
        </w:rPr>
        <w:t xml:space="preserve"> </w:t>
      </w:r>
      <w:r>
        <w:t>of</w:t>
      </w:r>
      <w:r>
        <w:rPr>
          <w:spacing w:val="-12"/>
        </w:rPr>
        <w:t xml:space="preserve"> </w:t>
      </w:r>
      <w:r>
        <w:t>asset</w:t>
      </w:r>
      <w:r>
        <w:rPr>
          <w:spacing w:val="-13"/>
        </w:rPr>
        <w:t xml:space="preserve"> </w:t>
      </w:r>
      <w:r>
        <w:t>classes</w:t>
      </w:r>
      <w:r>
        <w:rPr>
          <w:spacing w:val="-16"/>
        </w:rPr>
        <w:t xml:space="preserve"> </w:t>
      </w:r>
      <w:r>
        <w:t>throughout, and reducing investment risk as members approach retirement age.</w:t>
      </w:r>
    </w:p>
    <w:p w14:paraId="533F596F" w14:textId="77777777" w:rsidR="00AB3475" w:rsidRDefault="00AB3475">
      <w:pPr>
        <w:pStyle w:val="BodyText"/>
        <w:spacing w:before="1"/>
      </w:pPr>
    </w:p>
    <w:p w14:paraId="533F5972" w14:textId="0E6F5559" w:rsidR="00AB3475" w:rsidRDefault="00A853B3" w:rsidP="00950D1F">
      <w:pPr>
        <w:pStyle w:val="BodyText"/>
        <w:ind w:left="199" w:right="554"/>
        <w:jc w:val="both"/>
      </w:pPr>
      <w:r>
        <w:t>The aim of the L&amp;G PMC Target Date Funds 3 is to provide opportunity for growth in the early years</w:t>
      </w:r>
      <w:r>
        <w:rPr>
          <w:spacing w:val="-12"/>
        </w:rPr>
        <w:t xml:space="preserve"> </w:t>
      </w:r>
      <w:r>
        <w:t>of</w:t>
      </w:r>
      <w:r>
        <w:rPr>
          <w:spacing w:val="-9"/>
        </w:rPr>
        <w:t xml:space="preserve"> </w:t>
      </w:r>
      <w:r>
        <w:t>investment</w:t>
      </w:r>
      <w:r>
        <w:rPr>
          <w:spacing w:val="-13"/>
        </w:rPr>
        <w:t xml:space="preserve"> </w:t>
      </w:r>
      <w:r>
        <w:t>by</w:t>
      </w:r>
      <w:r>
        <w:rPr>
          <w:spacing w:val="-15"/>
        </w:rPr>
        <w:t xml:space="preserve"> </w:t>
      </w:r>
      <w:r>
        <w:t>investing</w:t>
      </w:r>
      <w:r>
        <w:rPr>
          <w:spacing w:val="-10"/>
        </w:rPr>
        <w:t xml:space="preserve"> </w:t>
      </w:r>
      <w:r>
        <w:t>predominantly</w:t>
      </w:r>
      <w:r>
        <w:rPr>
          <w:spacing w:val="-14"/>
        </w:rPr>
        <w:t xml:space="preserve"> </w:t>
      </w:r>
      <w:r>
        <w:t>in</w:t>
      </w:r>
      <w:r>
        <w:rPr>
          <w:spacing w:val="-15"/>
        </w:rPr>
        <w:t xml:space="preserve"> </w:t>
      </w:r>
      <w:r>
        <w:t>equities.</w:t>
      </w:r>
      <w:r>
        <w:rPr>
          <w:spacing w:val="37"/>
        </w:rPr>
        <w:t xml:space="preserve"> </w:t>
      </w:r>
      <w:r>
        <w:t>As</w:t>
      </w:r>
      <w:r>
        <w:rPr>
          <w:spacing w:val="-14"/>
        </w:rPr>
        <w:t xml:space="preserve"> </w:t>
      </w:r>
      <w:r>
        <w:t>retirement</w:t>
      </w:r>
      <w:r>
        <w:rPr>
          <w:spacing w:val="-13"/>
        </w:rPr>
        <w:t xml:space="preserve"> </w:t>
      </w:r>
      <w:r>
        <w:t>approaches,</w:t>
      </w:r>
      <w:r>
        <w:rPr>
          <w:spacing w:val="-13"/>
        </w:rPr>
        <w:t xml:space="preserve"> </w:t>
      </w:r>
      <w:r>
        <w:t>assets</w:t>
      </w:r>
      <w:r>
        <w:rPr>
          <w:spacing w:val="-14"/>
        </w:rPr>
        <w:t xml:space="preserve"> </w:t>
      </w:r>
      <w:r>
        <w:t>are switched to lower risk investments which have historically been less volatile, with the aim of protecting the value of the accumulated fund.</w:t>
      </w:r>
    </w:p>
    <w:p w14:paraId="45B13B62" w14:textId="77777777" w:rsidR="00950D1F" w:rsidRDefault="00950D1F" w:rsidP="00950D1F">
      <w:pPr>
        <w:pStyle w:val="BodyText"/>
        <w:ind w:left="199" w:right="554"/>
        <w:jc w:val="both"/>
      </w:pPr>
    </w:p>
    <w:p w14:paraId="533F5973" w14:textId="4B45A54D" w:rsidR="00AB3475" w:rsidRDefault="00A853B3">
      <w:pPr>
        <w:pStyle w:val="BodyText"/>
        <w:ind w:left="199" w:right="556"/>
        <w:jc w:val="both"/>
      </w:pPr>
      <w:r>
        <w:t>The</w:t>
      </w:r>
      <w:r>
        <w:rPr>
          <w:spacing w:val="-3"/>
        </w:rPr>
        <w:t xml:space="preserve"> </w:t>
      </w:r>
      <w:r>
        <w:t>chart</w:t>
      </w:r>
      <w:r>
        <w:rPr>
          <w:spacing w:val="-1"/>
        </w:rPr>
        <w:t xml:space="preserve"> </w:t>
      </w:r>
      <w:r>
        <w:t>below</w:t>
      </w:r>
      <w:r>
        <w:rPr>
          <w:spacing w:val="-4"/>
        </w:rPr>
        <w:t xml:space="preserve"> </w:t>
      </w:r>
      <w:r>
        <w:t>shows the</w:t>
      </w:r>
      <w:r>
        <w:rPr>
          <w:spacing w:val="-1"/>
        </w:rPr>
        <w:t xml:space="preserve"> </w:t>
      </w:r>
      <w:r>
        <w:t>structure</w:t>
      </w:r>
      <w:r>
        <w:rPr>
          <w:spacing w:val="-2"/>
        </w:rPr>
        <w:t xml:space="preserve"> </w:t>
      </w:r>
      <w:r>
        <w:t>of</w:t>
      </w:r>
      <w:r>
        <w:rPr>
          <w:spacing w:val="-1"/>
        </w:rPr>
        <w:t xml:space="preserve"> </w:t>
      </w:r>
      <w:r>
        <w:t>the L&amp;G</w:t>
      </w:r>
      <w:r>
        <w:rPr>
          <w:spacing w:val="-4"/>
        </w:rPr>
        <w:t xml:space="preserve"> </w:t>
      </w:r>
      <w:r>
        <w:t>PMC Target</w:t>
      </w:r>
      <w:r>
        <w:rPr>
          <w:spacing w:val="-2"/>
        </w:rPr>
        <w:t xml:space="preserve"> </w:t>
      </w:r>
      <w:r w:rsidRPr="00FC1D7D">
        <w:t>Date Funds</w:t>
      </w:r>
      <w:r w:rsidRPr="00FC1D7D">
        <w:rPr>
          <w:spacing w:val="-5"/>
        </w:rPr>
        <w:t xml:space="preserve"> </w:t>
      </w:r>
      <w:r w:rsidRPr="00FC1D7D">
        <w:t>3 2055-2060 ‘vintage’</w:t>
      </w:r>
      <w:r w:rsidR="00F65ADD">
        <w:t xml:space="preserve">, which is the fund a member would be put in if they had a target retirement date </w:t>
      </w:r>
      <w:r w:rsidR="00D90E53">
        <w:t>between 2055-2060</w:t>
      </w:r>
      <w:r w:rsidR="00752539">
        <w:t>.</w:t>
      </w:r>
      <w:r w:rsidR="00D55163">
        <w:t xml:space="preserve"> This means as at 31 March 2025</w:t>
      </w:r>
      <w:r w:rsidR="00F7015A">
        <w:t xml:space="preserve"> the member invested in this fund would </w:t>
      </w:r>
      <w:r w:rsidR="001F7688">
        <w:t>be between</w:t>
      </w:r>
      <w:r w:rsidR="00F7015A">
        <w:t xml:space="preserve"> 30 and 35 years</w:t>
      </w:r>
      <w:r w:rsidR="00C671EF">
        <w:t>. The member will stay invested in this vintage for t</w:t>
      </w:r>
      <w:r w:rsidR="00B22BC0">
        <w:t>heir entire savings journey.</w:t>
      </w:r>
      <w:r w:rsidR="00F7015A">
        <w:t xml:space="preserve"> </w:t>
      </w:r>
      <w:r w:rsidRPr="00FC1D7D">
        <w:t xml:space="preserve"> The asset allocation shown is dynamic and is expected to evolve over time. Other target date fund ‘vintages’ may have a different asset allocation t</w:t>
      </w:r>
      <w:r>
        <w:t>o the one shown below.</w:t>
      </w:r>
    </w:p>
    <w:p w14:paraId="533F5974" w14:textId="77777777" w:rsidR="00AB3475" w:rsidRDefault="00AB3475">
      <w:pPr>
        <w:pStyle w:val="BodyText"/>
      </w:pPr>
    </w:p>
    <w:p w14:paraId="7DC12176" w14:textId="4161F6E3" w:rsidR="007663B0" w:rsidRPr="000A0D9C" w:rsidRDefault="00A853B3" w:rsidP="00C46B43">
      <w:pPr>
        <w:ind w:right="602"/>
        <w:jc w:val="both"/>
        <w:rPr>
          <w:color w:val="000000" w:themeColor="text1"/>
        </w:rPr>
      </w:pPr>
      <w:r>
        <w:t>The chart also shows the asset allocation for members that choose to continue contributing or defer</w:t>
      </w:r>
      <w:r>
        <w:rPr>
          <w:spacing w:val="-16"/>
        </w:rPr>
        <w:t xml:space="preserve"> </w:t>
      </w:r>
      <w:r>
        <w:t>taking</w:t>
      </w:r>
      <w:r>
        <w:rPr>
          <w:spacing w:val="-15"/>
        </w:rPr>
        <w:t xml:space="preserve"> </w:t>
      </w:r>
      <w:r>
        <w:t>their</w:t>
      </w:r>
      <w:r>
        <w:rPr>
          <w:spacing w:val="-15"/>
        </w:rPr>
        <w:t xml:space="preserve"> </w:t>
      </w:r>
      <w:r>
        <w:t>pension</w:t>
      </w:r>
      <w:r>
        <w:rPr>
          <w:spacing w:val="-16"/>
        </w:rPr>
        <w:t xml:space="preserve"> </w:t>
      </w:r>
      <w:r>
        <w:t>beyond</w:t>
      </w:r>
      <w:r>
        <w:rPr>
          <w:spacing w:val="-15"/>
        </w:rPr>
        <w:t xml:space="preserve"> </w:t>
      </w:r>
      <w:r>
        <w:t>their</w:t>
      </w:r>
      <w:r>
        <w:rPr>
          <w:spacing w:val="-15"/>
        </w:rPr>
        <w:t xml:space="preserve"> </w:t>
      </w:r>
      <w:r>
        <w:t>normal</w:t>
      </w:r>
      <w:r>
        <w:rPr>
          <w:spacing w:val="-15"/>
        </w:rPr>
        <w:t xml:space="preserve"> </w:t>
      </w:r>
      <w:r>
        <w:t>retirement</w:t>
      </w:r>
      <w:r>
        <w:rPr>
          <w:spacing w:val="-16"/>
        </w:rPr>
        <w:t xml:space="preserve"> </w:t>
      </w:r>
      <w:r>
        <w:t>age</w:t>
      </w:r>
      <w:r>
        <w:rPr>
          <w:spacing w:val="-15"/>
        </w:rPr>
        <w:t xml:space="preserve"> </w:t>
      </w:r>
      <w:r>
        <w:t>('Stage</w:t>
      </w:r>
      <w:r>
        <w:rPr>
          <w:spacing w:val="-15"/>
        </w:rPr>
        <w:t xml:space="preserve"> </w:t>
      </w:r>
      <w:r>
        <w:t>3</w:t>
      </w:r>
      <w:r>
        <w:rPr>
          <w:spacing w:val="-16"/>
        </w:rPr>
        <w:t xml:space="preserve"> </w:t>
      </w:r>
      <w:r>
        <w:t>–</w:t>
      </w:r>
      <w:r>
        <w:rPr>
          <w:spacing w:val="-15"/>
        </w:rPr>
        <w:t xml:space="preserve"> </w:t>
      </w:r>
      <w:r>
        <w:t>Retirement'</w:t>
      </w:r>
      <w:r>
        <w:rPr>
          <w:spacing w:val="-15"/>
        </w:rPr>
        <w:t xml:space="preserve"> </w:t>
      </w:r>
      <w:r>
        <w:t>in</w:t>
      </w:r>
      <w:r>
        <w:rPr>
          <w:spacing w:val="-15"/>
        </w:rPr>
        <w:t xml:space="preserve"> </w:t>
      </w:r>
      <w:r>
        <w:t>the</w:t>
      </w:r>
      <w:r>
        <w:rPr>
          <w:spacing w:val="-16"/>
        </w:rPr>
        <w:t xml:space="preserve"> </w:t>
      </w:r>
      <w:r>
        <w:t xml:space="preserve">chart). Please note that </w:t>
      </w:r>
      <w:r w:rsidR="003B29DD">
        <w:t>the Fund</w:t>
      </w:r>
      <w:r>
        <w:t xml:space="preserve"> does not offer a drawdown facility so members will not be able to stay</w:t>
      </w:r>
      <w:r>
        <w:rPr>
          <w:spacing w:val="-10"/>
        </w:rPr>
        <w:t xml:space="preserve"> </w:t>
      </w:r>
      <w:r>
        <w:t>invested</w:t>
      </w:r>
      <w:r>
        <w:rPr>
          <w:spacing w:val="-7"/>
        </w:rPr>
        <w:t xml:space="preserve"> </w:t>
      </w:r>
      <w:r>
        <w:t>in</w:t>
      </w:r>
      <w:r>
        <w:rPr>
          <w:spacing w:val="-10"/>
        </w:rPr>
        <w:t xml:space="preserve"> </w:t>
      </w:r>
      <w:r w:rsidR="003B29DD">
        <w:t>the Fund</w:t>
      </w:r>
      <w:r>
        <w:rPr>
          <w:spacing w:val="-7"/>
        </w:rPr>
        <w:t xml:space="preserve"> </w:t>
      </w:r>
      <w:r>
        <w:t>while</w:t>
      </w:r>
      <w:r>
        <w:rPr>
          <w:spacing w:val="-7"/>
        </w:rPr>
        <w:t xml:space="preserve"> </w:t>
      </w:r>
      <w:r>
        <w:t>taking</w:t>
      </w:r>
      <w:r>
        <w:rPr>
          <w:spacing w:val="-10"/>
        </w:rPr>
        <w:t xml:space="preserve"> </w:t>
      </w:r>
      <w:r>
        <w:t>their</w:t>
      </w:r>
      <w:r>
        <w:rPr>
          <w:spacing w:val="-4"/>
        </w:rPr>
        <w:t xml:space="preserve"> </w:t>
      </w:r>
      <w:r>
        <w:t>pension</w:t>
      </w:r>
      <w:r>
        <w:rPr>
          <w:spacing w:val="-7"/>
        </w:rPr>
        <w:t xml:space="preserve"> </w:t>
      </w:r>
      <w:r>
        <w:t>benefits</w:t>
      </w:r>
      <w:r w:rsidR="00175933">
        <w:t>.  To</w:t>
      </w:r>
      <w:r w:rsidR="00E120BE">
        <w:t xml:space="preserve"> access retirement options such as lump sums and drawdown</w:t>
      </w:r>
      <w:r w:rsidR="3897F545">
        <w:t>,</w:t>
      </w:r>
      <w:r w:rsidR="00E120BE">
        <w:t xml:space="preserve"> members</w:t>
      </w:r>
      <w:r>
        <w:rPr>
          <w:spacing w:val="-12"/>
        </w:rPr>
        <w:t xml:space="preserve"> </w:t>
      </w:r>
      <w:r>
        <w:t>must</w:t>
      </w:r>
      <w:r>
        <w:rPr>
          <w:spacing w:val="-9"/>
        </w:rPr>
        <w:t xml:space="preserve"> </w:t>
      </w:r>
      <w:r>
        <w:t>transfer</w:t>
      </w:r>
      <w:r>
        <w:rPr>
          <w:spacing w:val="-6"/>
        </w:rPr>
        <w:t xml:space="preserve"> </w:t>
      </w:r>
      <w:r>
        <w:t>out</w:t>
      </w:r>
      <w:r>
        <w:rPr>
          <w:spacing w:val="-8"/>
        </w:rPr>
        <w:t xml:space="preserve"> </w:t>
      </w:r>
      <w:r>
        <w:t>to</w:t>
      </w:r>
      <w:r>
        <w:rPr>
          <w:spacing w:val="-10"/>
        </w:rPr>
        <w:t xml:space="preserve"> </w:t>
      </w:r>
      <w:r>
        <w:t xml:space="preserve">another </w:t>
      </w:r>
      <w:r>
        <w:rPr>
          <w:spacing w:val="-2"/>
        </w:rPr>
        <w:t>arrangement.</w:t>
      </w:r>
      <w:r w:rsidR="007663B0" w:rsidRPr="007663B0">
        <w:t xml:space="preserve"> </w:t>
      </w:r>
      <w:r w:rsidR="00C46B43">
        <w:t xml:space="preserve">Members </w:t>
      </w:r>
      <w:r w:rsidR="007663B0">
        <w:t xml:space="preserve">considering taking flexible income can access the Legal &amp; General </w:t>
      </w:r>
      <w:proofErr w:type="spellStart"/>
      <w:r w:rsidR="007663B0">
        <w:t>WorkSave</w:t>
      </w:r>
      <w:proofErr w:type="spellEnd"/>
      <w:r w:rsidR="007663B0">
        <w:t xml:space="preserve"> </w:t>
      </w:r>
      <w:proofErr w:type="spellStart"/>
      <w:r w:rsidR="007663B0">
        <w:t>Mastertrust</w:t>
      </w:r>
      <w:proofErr w:type="spellEnd"/>
      <w:r w:rsidR="007663B0">
        <w:t xml:space="preserve"> Pension Access Scheme or </w:t>
      </w:r>
      <w:r w:rsidR="00C46B43">
        <w:t>they</w:t>
      </w:r>
      <w:r w:rsidR="007663B0">
        <w:t xml:space="preserve"> can switch to another provider. </w:t>
      </w:r>
      <w:r w:rsidR="00C46B43">
        <w:t>Members</w:t>
      </w:r>
      <w:r w:rsidR="007663B0">
        <w:t xml:space="preserve"> can find out more about the Pension Access Scheme at </w:t>
      </w:r>
      <w:hyperlink r:id="rId11" w:history="1">
        <w:r w:rsidR="000A0D9C" w:rsidRPr="000A0D9C">
          <w:rPr>
            <w:rStyle w:val="Hyperlink"/>
            <w:color w:val="000000" w:themeColor="text1"/>
          </w:rPr>
          <w:t>www.</w:t>
        </w:r>
        <w:r w:rsidR="007663B0" w:rsidRPr="000A0D9C">
          <w:rPr>
            <w:rStyle w:val="Hyperlink"/>
            <w:color w:val="000000" w:themeColor="text1"/>
          </w:rPr>
          <w:t>legalandgeneral.com/imperialpas</w:t>
        </w:r>
      </w:hyperlink>
    </w:p>
    <w:p w14:paraId="533F5975" w14:textId="752D9E0E" w:rsidR="00AB3475" w:rsidRDefault="00AB3475">
      <w:pPr>
        <w:pStyle w:val="BodyText"/>
        <w:spacing w:before="1"/>
        <w:ind w:left="199" w:right="555"/>
        <w:jc w:val="both"/>
      </w:pPr>
    </w:p>
    <w:p w14:paraId="533F5976" w14:textId="5FEEE847" w:rsidR="00AB3475" w:rsidRDefault="00A13FD6">
      <w:pPr>
        <w:pStyle w:val="BodyText"/>
        <w:rPr>
          <w:sz w:val="20"/>
        </w:rPr>
      </w:pPr>
      <w:r w:rsidRPr="00A13FD6">
        <w:rPr>
          <w:noProof/>
          <w:sz w:val="20"/>
        </w:rPr>
        <w:drawing>
          <wp:inline distT="0" distB="0" distL="0" distR="0" wp14:anchorId="62013C50" wp14:editId="375B9B3A">
            <wp:extent cx="6184900" cy="2811780"/>
            <wp:effectExtent l="0" t="0" r="6350" b="7620"/>
            <wp:docPr id="163861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4900" cy="2811780"/>
                    </a:xfrm>
                    <a:prstGeom prst="rect">
                      <a:avLst/>
                    </a:prstGeom>
                    <a:noFill/>
                    <a:ln>
                      <a:noFill/>
                    </a:ln>
                  </pic:spPr>
                </pic:pic>
              </a:graphicData>
            </a:graphic>
          </wp:inline>
        </w:drawing>
      </w:r>
    </w:p>
    <w:p w14:paraId="533F5978" w14:textId="79111220" w:rsidR="00AB3475" w:rsidRDefault="0016172A" w:rsidP="70CA713C">
      <w:pPr>
        <w:pStyle w:val="BodyText"/>
        <w:spacing w:before="136"/>
        <w:rPr>
          <w:i/>
          <w:iCs/>
          <w:sz w:val="18"/>
          <w:szCs w:val="18"/>
        </w:rPr>
      </w:pPr>
      <w:r w:rsidRPr="70CA713C">
        <w:t>￼</w:t>
      </w:r>
      <w:r w:rsidR="00A853B3" w:rsidRPr="70CA713C">
        <w:rPr>
          <w:i/>
          <w:iCs/>
          <w:spacing w:val="-5"/>
          <w:sz w:val="18"/>
          <w:szCs w:val="18"/>
        </w:rPr>
        <w:t>Source:</w:t>
      </w:r>
      <w:r w:rsidR="00A853B3" w:rsidRPr="70CA713C">
        <w:rPr>
          <w:i/>
          <w:iCs/>
          <w:sz w:val="18"/>
          <w:szCs w:val="18"/>
        </w:rPr>
        <w:t xml:space="preserve"> L&amp;G</w:t>
      </w:r>
    </w:p>
    <w:p w14:paraId="533F5979" w14:textId="77777777" w:rsidR="00AB3475" w:rsidRDefault="00AB3475">
      <w:pPr>
        <w:pStyle w:val="BodyText"/>
        <w:rPr>
          <w:i/>
          <w:sz w:val="18"/>
        </w:rPr>
      </w:pPr>
    </w:p>
    <w:p w14:paraId="533F597B" w14:textId="26788782" w:rsidR="00AB3475" w:rsidRDefault="00A853B3" w:rsidP="002A7B53">
      <w:pPr>
        <w:ind w:right="602"/>
        <w:jc w:val="both"/>
      </w:pPr>
      <w:r w:rsidRPr="0092200C">
        <w:t xml:space="preserve">The Trustee is responsible for the </w:t>
      </w:r>
      <w:r w:rsidR="00E27B3F" w:rsidRPr="0092200C">
        <w:t>Defined Contribution</w:t>
      </w:r>
      <w:r w:rsidRPr="0092200C">
        <w:t xml:space="preserve"> section's investment governance, which includes</w:t>
      </w:r>
      <w:r w:rsidRPr="0092200C">
        <w:rPr>
          <w:spacing w:val="-6"/>
        </w:rPr>
        <w:t xml:space="preserve"> </w:t>
      </w:r>
      <w:r w:rsidRPr="0092200C">
        <w:t>setting</w:t>
      </w:r>
      <w:r w:rsidRPr="0092200C">
        <w:rPr>
          <w:spacing w:val="-4"/>
        </w:rPr>
        <w:t xml:space="preserve"> </w:t>
      </w:r>
      <w:r w:rsidRPr="0092200C">
        <w:t>and</w:t>
      </w:r>
      <w:r w:rsidRPr="0092200C">
        <w:rPr>
          <w:spacing w:val="-9"/>
        </w:rPr>
        <w:t xml:space="preserve"> </w:t>
      </w:r>
      <w:r w:rsidRPr="0092200C">
        <w:t>monitoring</w:t>
      </w:r>
      <w:r w:rsidRPr="0092200C">
        <w:rPr>
          <w:spacing w:val="-6"/>
        </w:rPr>
        <w:t xml:space="preserve"> </w:t>
      </w:r>
      <w:r w:rsidRPr="0092200C">
        <w:t>the</w:t>
      </w:r>
      <w:r w:rsidRPr="0092200C">
        <w:rPr>
          <w:spacing w:val="-9"/>
        </w:rPr>
        <w:t xml:space="preserve"> </w:t>
      </w:r>
      <w:r w:rsidRPr="0092200C">
        <w:t>investment</w:t>
      </w:r>
      <w:r w:rsidRPr="0092200C">
        <w:rPr>
          <w:spacing w:val="-7"/>
        </w:rPr>
        <w:t xml:space="preserve"> </w:t>
      </w:r>
      <w:r w:rsidRPr="0092200C">
        <w:t>strategy</w:t>
      </w:r>
      <w:r w:rsidRPr="0092200C">
        <w:rPr>
          <w:spacing w:val="-11"/>
        </w:rPr>
        <w:t xml:space="preserve"> </w:t>
      </w:r>
      <w:r w:rsidRPr="0092200C">
        <w:t>for</w:t>
      </w:r>
      <w:r w:rsidRPr="0092200C">
        <w:rPr>
          <w:spacing w:val="-8"/>
        </w:rPr>
        <w:t xml:space="preserve"> </w:t>
      </w:r>
      <w:r w:rsidRPr="0092200C">
        <w:t>the</w:t>
      </w:r>
      <w:r w:rsidRPr="0092200C">
        <w:rPr>
          <w:spacing w:val="-7"/>
        </w:rPr>
        <w:t xml:space="preserve"> </w:t>
      </w:r>
      <w:r w:rsidRPr="0092200C">
        <w:t>default</w:t>
      </w:r>
      <w:r w:rsidRPr="0092200C">
        <w:rPr>
          <w:spacing w:val="-5"/>
        </w:rPr>
        <w:t xml:space="preserve"> </w:t>
      </w:r>
      <w:r w:rsidRPr="0092200C">
        <w:t>arrangement.</w:t>
      </w:r>
      <w:r w:rsidRPr="0092200C">
        <w:rPr>
          <w:spacing w:val="40"/>
        </w:rPr>
        <w:t xml:space="preserve"> </w:t>
      </w:r>
      <w:r w:rsidR="003D5529" w:rsidRPr="0092200C">
        <w:t xml:space="preserve">The Investment Committee is </w:t>
      </w:r>
      <w:r w:rsidR="00F77EAB" w:rsidRPr="0092200C">
        <w:t>r</w:t>
      </w:r>
      <w:r w:rsidRPr="0092200C">
        <w:t>esponsible for monitoring</w:t>
      </w:r>
      <w:r w:rsidR="000040AD" w:rsidRPr="0092200C">
        <w:t xml:space="preserve"> and reviewing the investment performance and suitability of the fund range offered, including the default fund, for the defined contribution section.</w:t>
      </w:r>
    </w:p>
    <w:p w14:paraId="533F597D" w14:textId="77777777" w:rsidR="00AB3475" w:rsidRDefault="00AB3475" w:rsidP="00D019F4">
      <w:pPr>
        <w:jc w:val="both"/>
      </w:pPr>
    </w:p>
    <w:p w14:paraId="533F597E" w14:textId="77777777" w:rsidR="00AB3475" w:rsidRDefault="00A853B3" w:rsidP="00F17905">
      <w:pPr>
        <w:pStyle w:val="Heading2"/>
        <w:numPr>
          <w:ilvl w:val="1"/>
          <w:numId w:val="13"/>
        </w:numPr>
        <w:tabs>
          <w:tab w:val="left" w:pos="568"/>
        </w:tabs>
      </w:pPr>
      <w:r>
        <w:t>The</w:t>
      </w:r>
      <w:r>
        <w:rPr>
          <w:spacing w:val="-4"/>
        </w:rPr>
        <w:t xml:space="preserve"> </w:t>
      </w:r>
      <w:r>
        <w:t>asset</w:t>
      </w:r>
      <w:r>
        <w:rPr>
          <w:spacing w:val="-4"/>
        </w:rPr>
        <w:t xml:space="preserve"> </w:t>
      </w:r>
      <w:r>
        <w:t>allocation</w:t>
      </w:r>
      <w:r>
        <w:rPr>
          <w:spacing w:val="-3"/>
        </w:rPr>
        <w:t xml:space="preserve"> </w:t>
      </w:r>
      <w:r>
        <w:t>of</w:t>
      </w:r>
      <w:r>
        <w:rPr>
          <w:spacing w:val="-4"/>
        </w:rPr>
        <w:t xml:space="preserve"> </w:t>
      </w:r>
      <w:r>
        <w:t>the</w:t>
      </w:r>
      <w:r>
        <w:rPr>
          <w:spacing w:val="-6"/>
        </w:rPr>
        <w:t xml:space="preserve"> </w:t>
      </w:r>
      <w:r>
        <w:t>default</w:t>
      </w:r>
      <w:r>
        <w:rPr>
          <w:spacing w:val="-4"/>
        </w:rPr>
        <w:t xml:space="preserve"> </w:t>
      </w:r>
      <w:r>
        <w:rPr>
          <w:spacing w:val="-2"/>
        </w:rPr>
        <w:t>arrangement</w:t>
      </w:r>
    </w:p>
    <w:p w14:paraId="533F597F" w14:textId="77777777" w:rsidR="00AB3475" w:rsidRDefault="00AB3475">
      <w:pPr>
        <w:pStyle w:val="BodyText"/>
        <w:rPr>
          <w:b/>
        </w:rPr>
      </w:pPr>
    </w:p>
    <w:p w14:paraId="533F5980" w14:textId="77777777" w:rsidR="00AB3475" w:rsidRDefault="00A853B3">
      <w:pPr>
        <w:pStyle w:val="BodyText"/>
        <w:ind w:left="199"/>
        <w:jc w:val="both"/>
      </w:pPr>
      <w:r>
        <w:t>The</w:t>
      </w:r>
      <w:r>
        <w:rPr>
          <w:spacing w:val="-11"/>
        </w:rPr>
        <w:t xml:space="preserve"> </w:t>
      </w:r>
      <w:r>
        <w:t>Trustee</w:t>
      </w:r>
      <w:r>
        <w:rPr>
          <w:spacing w:val="-4"/>
        </w:rPr>
        <w:t xml:space="preserve"> </w:t>
      </w:r>
      <w:r>
        <w:t>is</w:t>
      </w:r>
      <w:r>
        <w:rPr>
          <w:spacing w:val="-6"/>
        </w:rPr>
        <w:t xml:space="preserve"> </w:t>
      </w:r>
      <w:r>
        <w:t>required</w:t>
      </w:r>
      <w:r>
        <w:rPr>
          <w:spacing w:val="-6"/>
        </w:rPr>
        <w:t xml:space="preserve"> </w:t>
      </w:r>
      <w:r>
        <w:t>to</w:t>
      </w:r>
      <w:r>
        <w:rPr>
          <w:spacing w:val="-5"/>
        </w:rPr>
        <w:t xml:space="preserve"> </w:t>
      </w:r>
      <w:r>
        <w:t>disclose</w:t>
      </w:r>
      <w:r>
        <w:rPr>
          <w:spacing w:val="-2"/>
        </w:rPr>
        <w:t xml:space="preserve"> </w:t>
      </w:r>
      <w:r>
        <w:t>the</w:t>
      </w:r>
      <w:r>
        <w:rPr>
          <w:spacing w:val="-9"/>
        </w:rPr>
        <w:t xml:space="preserve"> </w:t>
      </w:r>
      <w:r>
        <w:t>full</w:t>
      </w:r>
      <w:r>
        <w:rPr>
          <w:spacing w:val="-4"/>
        </w:rPr>
        <w:t xml:space="preserve"> </w:t>
      </w:r>
      <w:r>
        <w:t>asset</w:t>
      </w:r>
      <w:r>
        <w:rPr>
          <w:spacing w:val="-7"/>
        </w:rPr>
        <w:t xml:space="preserve"> </w:t>
      </w:r>
      <w:r>
        <w:t>allocation</w:t>
      </w:r>
      <w:r>
        <w:rPr>
          <w:spacing w:val="-3"/>
        </w:rPr>
        <w:t xml:space="preserve"> </w:t>
      </w:r>
      <w:r>
        <w:t>of</w:t>
      </w:r>
      <w:r>
        <w:rPr>
          <w:spacing w:val="-2"/>
        </w:rPr>
        <w:t xml:space="preserve"> </w:t>
      </w:r>
      <w:r>
        <w:t>the</w:t>
      </w:r>
      <w:r>
        <w:rPr>
          <w:spacing w:val="-4"/>
        </w:rPr>
        <w:t xml:space="preserve"> </w:t>
      </w:r>
      <w:r>
        <w:t>default</w:t>
      </w:r>
      <w:r>
        <w:rPr>
          <w:spacing w:val="-5"/>
        </w:rPr>
        <w:t xml:space="preserve"> </w:t>
      </w:r>
      <w:r>
        <w:rPr>
          <w:spacing w:val="-2"/>
        </w:rPr>
        <w:t>arrangements.</w:t>
      </w:r>
    </w:p>
    <w:p w14:paraId="533F5981" w14:textId="77777777" w:rsidR="00AB3475" w:rsidRDefault="00AB3475">
      <w:pPr>
        <w:pStyle w:val="BodyText"/>
      </w:pPr>
    </w:p>
    <w:p w14:paraId="533F5982" w14:textId="285C6FDC" w:rsidR="00AB3475" w:rsidRDefault="00A853B3">
      <w:pPr>
        <w:pStyle w:val="BodyText"/>
        <w:spacing w:before="1"/>
        <w:ind w:left="199" w:right="552"/>
        <w:jc w:val="both"/>
      </w:pPr>
      <w:r>
        <w:t>The</w:t>
      </w:r>
      <w:r>
        <w:rPr>
          <w:spacing w:val="-12"/>
        </w:rPr>
        <w:t xml:space="preserve"> </w:t>
      </w:r>
      <w:r>
        <w:t>table</w:t>
      </w:r>
      <w:r>
        <w:rPr>
          <w:spacing w:val="-9"/>
        </w:rPr>
        <w:t xml:space="preserve"> </w:t>
      </w:r>
      <w:r>
        <w:t>below</w:t>
      </w:r>
      <w:r>
        <w:rPr>
          <w:spacing w:val="-12"/>
        </w:rPr>
        <w:t xml:space="preserve"> </w:t>
      </w:r>
      <w:r>
        <w:t>shows</w:t>
      </w:r>
      <w:r>
        <w:rPr>
          <w:spacing w:val="-8"/>
        </w:rPr>
        <w:t xml:space="preserve"> </w:t>
      </w:r>
      <w:r>
        <w:t>the</w:t>
      </w:r>
      <w:r>
        <w:rPr>
          <w:spacing w:val="-9"/>
        </w:rPr>
        <w:t xml:space="preserve"> </w:t>
      </w:r>
      <w:r>
        <w:t>percentage</w:t>
      </w:r>
      <w:r>
        <w:rPr>
          <w:spacing w:val="-11"/>
        </w:rPr>
        <w:t xml:space="preserve"> </w:t>
      </w:r>
      <w:r>
        <w:t>of</w:t>
      </w:r>
      <w:r>
        <w:rPr>
          <w:spacing w:val="-10"/>
        </w:rPr>
        <w:t xml:space="preserve"> </w:t>
      </w:r>
      <w:r>
        <w:t>assets</w:t>
      </w:r>
      <w:r>
        <w:rPr>
          <w:spacing w:val="-11"/>
        </w:rPr>
        <w:t xml:space="preserve"> </w:t>
      </w:r>
      <w:r>
        <w:t>allocated</w:t>
      </w:r>
      <w:r>
        <w:rPr>
          <w:spacing w:val="-9"/>
        </w:rPr>
        <w:t xml:space="preserve"> </w:t>
      </w:r>
      <w:r>
        <w:t>in</w:t>
      </w:r>
      <w:r>
        <w:rPr>
          <w:spacing w:val="-11"/>
        </w:rPr>
        <w:t xml:space="preserve"> </w:t>
      </w:r>
      <w:r>
        <w:t>the</w:t>
      </w:r>
      <w:r>
        <w:rPr>
          <w:spacing w:val="-12"/>
        </w:rPr>
        <w:t xml:space="preserve"> </w:t>
      </w:r>
      <w:r>
        <w:t>default</w:t>
      </w:r>
      <w:r>
        <w:rPr>
          <w:spacing w:val="-10"/>
        </w:rPr>
        <w:t xml:space="preserve"> </w:t>
      </w:r>
      <w:r>
        <w:t>arrangement</w:t>
      </w:r>
      <w:r>
        <w:rPr>
          <w:spacing w:val="-12"/>
        </w:rPr>
        <w:t xml:space="preserve"> </w:t>
      </w:r>
      <w:r>
        <w:t>to</w:t>
      </w:r>
      <w:r>
        <w:rPr>
          <w:spacing w:val="-11"/>
        </w:rPr>
        <w:t xml:space="preserve"> </w:t>
      </w:r>
      <w:r>
        <w:t>specified asset classes for members of different ages</w:t>
      </w:r>
      <w:r w:rsidR="008F09D7">
        <w:t xml:space="preserve"> (with a retirement age of 65)</w:t>
      </w:r>
      <w:r w:rsidR="008B12A4">
        <w:t xml:space="preserve"> for the current default arrangement managed by L&amp;G</w:t>
      </w:r>
      <w:r>
        <w:t>.</w:t>
      </w:r>
    </w:p>
    <w:p w14:paraId="533F5983" w14:textId="77777777" w:rsidR="00AB3475" w:rsidRDefault="00AB3475">
      <w:pPr>
        <w:pStyle w:val="BodyText"/>
        <w:spacing w:before="22"/>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1594"/>
        <w:gridCol w:w="1595"/>
        <w:gridCol w:w="1595"/>
        <w:gridCol w:w="1595"/>
      </w:tblGrid>
      <w:tr w:rsidR="00AB3475" w14:paraId="533F5986" w14:textId="77777777" w:rsidTr="1D461D87">
        <w:trPr>
          <w:trHeight w:val="350"/>
        </w:trPr>
        <w:tc>
          <w:tcPr>
            <w:tcW w:w="2621" w:type="dxa"/>
            <w:vMerge w:val="restart"/>
            <w:shd w:val="clear" w:color="auto" w:fill="CE8D95"/>
          </w:tcPr>
          <w:p w14:paraId="092F92CF" w14:textId="77777777" w:rsidR="00BB3DF5" w:rsidRDefault="00BB3DF5">
            <w:pPr>
              <w:pStyle w:val="TableParagraph"/>
              <w:spacing w:before="179"/>
              <w:ind w:left="107"/>
              <w:rPr>
                <w:b/>
                <w:sz w:val="20"/>
              </w:rPr>
            </w:pPr>
            <w:r>
              <w:rPr>
                <w:b/>
                <w:sz w:val="20"/>
              </w:rPr>
              <w:t>Table 1</w:t>
            </w:r>
          </w:p>
          <w:p w14:paraId="533F5984" w14:textId="0AE1881E" w:rsidR="00AB3475" w:rsidRDefault="00A853B3">
            <w:pPr>
              <w:pStyle w:val="TableParagraph"/>
              <w:spacing w:before="179"/>
              <w:ind w:left="107"/>
              <w:rPr>
                <w:b/>
                <w:sz w:val="20"/>
              </w:rPr>
            </w:pPr>
            <w:r>
              <w:rPr>
                <w:b/>
                <w:sz w:val="20"/>
              </w:rPr>
              <w:t>Asset</w:t>
            </w:r>
            <w:r>
              <w:rPr>
                <w:b/>
                <w:spacing w:val="-10"/>
                <w:sz w:val="20"/>
              </w:rPr>
              <w:t xml:space="preserve"> </w:t>
            </w:r>
            <w:r>
              <w:rPr>
                <w:b/>
                <w:spacing w:val="-2"/>
                <w:sz w:val="20"/>
              </w:rPr>
              <w:t>class</w:t>
            </w:r>
          </w:p>
        </w:tc>
        <w:tc>
          <w:tcPr>
            <w:tcW w:w="6379" w:type="dxa"/>
            <w:gridSpan w:val="4"/>
            <w:shd w:val="clear" w:color="auto" w:fill="CE8D95"/>
          </w:tcPr>
          <w:p w14:paraId="533F5985" w14:textId="212958A8" w:rsidR="00AB3475" w:rsidRDefault="00B65653" w:rsidP="00AE51A1">
            <w:pPr>
              <w:pStyle w:val="TableParagraph"/>
              <w:spacing w:before="120" w:after="120"/>
              <w:ind w:left="108"/>
              <w:jc w:val="center"/>
              <w:rPr>
                <w:b/>
                <w:sz w:val="20"/>
              </w:rPr>
            </w:pPr>
            <w:r>
              <w:rPr>
                <w:b/>
                <w:sz w:val="20"/>
              </w:rPr>
              <w:t xml:space="preserve">Strategic and </w:t>
            </w:r>
            <w:r w:rsidR="003B0E30">
              <w:rPr>
                <w:b/>
                <w:sz w:val="20"/>
              </w:rPr>
              <w:t>Actual a</w:t>
            </w:r>
            <w:r w:rsidR="00A853B3">
              <w:rPr>
                <w:b/>
                <w:sz w:val="20"/>
              </w:rPr>
              <w:t>sset</w:t>
            </w:r>
            <w:r w:rsidR="00A853B3">
              <w:rPr>
                <w:b/>
                <w:spacing w:val="-6"/>
                <w:sz w:val="20"/>
              </w:rPr>
              <w:t xml:space="preserve"> </w:t>
            </w:r>
            <w:r w:rsidR="00A853B3">
              <w:rPr>
                <w:b/>
                <w:sz w:val="20"/>
              </w:rPr>
              <w:t>allocation</w:t>
            </w:r>
            <w:r w:rsidR="00A853B3">
              <w:rPr>
                <w:b/>
                <w:spacing w:val="-1"/>
                <w:sz w:val="20"/>
              </w:rPr>
              <w:t xml:space="preserve"> </w:t>
            </w:r>
            <w:r w:rsidR="00A853B3">
              <w:rPr>
                <w:b/>
                <w:sz w:val="20"/>
              </w:rPr>
              <w:t>as</w:t>
            </w:r>
            <w:r w:rsidR="00A853B3">
              <w:rPr>
                <w:b/>
                <w:spacing w:val="-6"/>
                <w:sz w:val="20"/>
              </w:rPr>
              <w:t xml:space="preserve"> </w:t>
            </w:r>
            <w:r w:rsidR="00A853B3">
              <w:rPr>
                <w:b/>
                <w:sz w:val="20"/>
              </w:rPr>
              <w:t>at</w:t>
            </w:r>
            <w:r w:rsidR="00A853B3">
              <w:rPr>
                <w:b/>
                <w:spacing w:val="-3"/>
                <w:sz w:val="20"/>
              </w:rPr>
              <w:t xml:space="preserve"> </w:t>
            </w:r>
            <w:r w:rsidR="00A853B3">
              <w:rPr>
                <w:b/>
                <w:sz w:val="20"/>
              </w:rPr>
              <w:t>31</w:t>
            </w:r>
            <w:r w:rsidR="00A853B3">
              <w:rPr>
                <w:b/>
                <w:spacing w:val="-4"/>
                <w:sz w:val="20"/>
              </w:rPr>
              <w:t xml:space="preserve"> </w:t>
            </w:r>
            <w:r w:rsidR="0092200C">
              <w:rPr>
                <w:b/>
                <w:sz w:val="20"/>
              </w:rPr>
              <w:t>December 2024</w:t>
            </w:r>
            <w:r w:rsidR="00A853B3">
              <w:rPr>
                <w:b/>
                <w:spacing w:val="-6"/>
                <w:sz w:val="20"/>
              </w:rPr>
              <w:t xml:space="preserve"> </w:t>
            </w:r>
            <w:r w:rsidR="00A853B3">
              <w:rPr>
                <w:b/>
                <w:spacing w:val="-5"/>
                <w:sz w:val="20"/>
              </w:rPr>
              <w:t>(%)</w:t>
            </w:r>
          </w:p>
        </w:tc>
      </w:tr>
      <w:tr w:rsidR="00AB3475" w14:paraId="533F598C" w14:textId="77777777" w:rsidTr="1D461D87">
        <w:trPr>
          <w:trHeight w:val="350"/>
        </w:trPr>
        <w:tc>
          <w:tcPr>
            <w:tcW w:w="2621" w:type="dxa"/>
            <w:vMerge/>
          </w:tcPr>
          <w:p w14:paraId="533F5987" w14:textId="77777777" w:rsidR="00AB3475" w:rsidRDefault="00AB3475">
            <w:pPr>
              <w:rPr>
                <w:sz w:val="2"/>
                <w:szCs w:val="2"/>
              </w:rPr>
            </w:pPr>
          </w:p>
        </w:tc>
        <w:tc>
          <w:tcPr>
            <w:tcW w:w="1594" w:type="dxa"/>
            <w:shd w:val="clear" w:color="auto" w:fill="CE8D95"/>
          </w:tcPr>
          <w:p w14:paraId="533F5988" w14:textId="2DFB7001" w:rsidR="00AB3475" w:rsidRDefault="003B565A" w:rsidP="00AE51A1">
            <w:pPr>
              <w:pStyle w:val="TableParagraph"/>
              <w:spacing w:before="120" w:after="120"/>
              <w:ind w:left="108"/>
              <w:jc w:val="center"/>
              <w:rPr>
                <w:b/>
                <w:sz w:val="20"/>
              </w:rPr>
            </w:pPr>
            <w:r>
              <w:rPr>
                <w:b/>
                <w:sz w:val="20"/>
              </w:rPr>
              <w:t>25</w:t>
            </w:r>
            <w:r>
              <w:rPr>
                <w:b/>
                <w:spacing w:val="-4"/>
                <w:sz w:val="20"/>
              </w:rPr>
              <w:t xml:space="preserve"> </w:t>
            </w:r>
            <w:r w:rsidR="00A853B3">
              <w:rPr>
                <w:b/>
                <w:sz w:val="20"/>
              </w:rPr>
              <w:t>years</w:t>
            </w:r>
            <w:r w:rsidR="00A853B3">
              <w:rPr>
                <w:b/>
                <w:spacing w:val="-6"/>
                <w:sz w:val="20"/>
              </w:rPr>
              <w:t xml:space="preserve"> </w:t>
            </w:r>
            <w:r w:rsidR="00A853B3">
              <w:rPr>
                <w:b/>
                <w:spacing w:val="-5"/>
                <w:sz w:val="20"/>
              </w:rPr>
              <w:t>old</w:t>
            </w:r>
          </w:p>
        </w:tc>
        <w:tc>
          <w:tcPr>
            <w:tcW w:w="1595" w:type="dxa"/>
            <w:shd w:val="clear" w:color="auto" w:fill="CE8D95"/>
          </w:tcPr>
          <w:p w14:paraId="533F5989" w14:textId="77777777" w:rsidR="00AB3475" w:rsidRDefault="00A853B3" w:rsidP="00AE51A1">
            <w:pPr>
              <w:pStyle w:val="TableParagraph"/>
              <w:spacing w:before="120" w:after="120"/>
              <w:ind w:left="108"/>
              <w:jc w:val="center"/>
              <w:rPr>
                <w:b/>
                <w:sz w:val="20"/>
              </w:rPr>
            </w:pPr>
            <w:r>
              <w:rPr>
                <w:b/>
                <w:sz w:val="20"/>
              </w:rPr>
              <w:t>45</w:t>
            </w:r>
            <w:r>
              <w:rPr>
                <w:b/>
                <w:spacing w:val="-4"/>
                <w:sz w:val="20"/>
              </w:rPr>
              <w:t xml:space="preserve"> </w:t>
            </w:r>
            <w:r>
              <w:rPr>
                <w:b/>
                <w:sz w:val="20"/>
              </w:rPr>
              <w:t>years</w:t>
            </w:r>
            <w:r>
              <w:rPr>
                <w:b/>
                <w:spacing w:val="-6"/>
                <w:sz w:val="20"/>
              </w:rPr>
              <w:t xml:space="preserve"> </w:t>
            </w:r>
            <w:r>
              <w:rPr>
                <w:b/>
                <w:spacing w:val="-5"/>
                <w:sz w:val="20"/>
              </w:rPr>
              <w:t>old</w:t>
            </w:r>
          </w:p>
        </w:tc>
        <w:tc>
          <w:tcPr>
            <w:tcW w:w="1595" w:type="dxa"/>
            <w:shd w:val="clear" w:color="auto" w:fill="CE8D95"/>
          </w:tcPr>
          <w:p w14:paraId="533F598A" w14:textId="77777777" w:rsidR="00AB3475" w:rsidRDefault="00A853B3" w:rsidP="00AE51A1">
            <w:pPr>
              <w:pStyle w:val="TableParagraph"/>
              <w:spacing w:before="120" w:after="120"/>
              <w:ind w:left="108"/>
              <w:jc w:val="center"/>
              <w:rPr>
                <w:b/>
                <w:sz w:val="20"/>
              </w:rPr>
            </w:pPr>
            <w:r>
              <w:rPr>
                <w:b/>
                <w:sz w:val="20"/>
              </w:rPr>
              <w:t>55</w:t>
            </w:r>
            <w:r>
              <w:rPr>
                <w:b/>
                <w:spacing w:val="-4"/>
                <w:sz w:val="20"/>
              </w:rPr>
              <w:t xml:space="preserve"> </w:t>
            </w:r>
            <w:r>
              <w:rPr>
                <w:b/>
                <w:sz w:val="20"/>
              </w:rPr>
              <w:t>years</w:t>
            </w:r>
            <w:r>
              <w:rPr>
                <w:b/>
                <w:spacing w:val="-6"/>
                <w:sz w:val="20"/>
              </w:rPr>
              <w:t xml:space="preserve"> </w:t>
            </w:r>
            <w:r>
              <w:rPr>
                <w:b/>
                <w:spacing w:val="-5"/>
                <w:sz w:val="20"/>
              </w:rPr>
              <w:t>old</w:t>
            </w:r>
          </w:p>
        </w:tc>
        <w:tc>
          <w:tcPr>
            <w:tcW w:w="1595" w:type="dxa"/>
            <w:shd w:val="clear" w:color="auto" w:fill="CE8D95"/>
          </w:tcPr>
          <w:p w14:paraId="533F598B" w14:textId="77777777" w:rsidR="00AB3475" w:rsidRDefault="00A853B3" w:rsidP="00AE51A1">
            <w:pPr>
              <w:pStyle w:val="TableParagraph"/>
              <w:spacing w:before="120" w:after="120"/>
              <w:ind w:left="109"/>
              <w:jc w:val="center"/>
              <w:rPr>
                <w:b/>
                <w:sz w:val="20"/>
              </w:rPr>
            </w:pPr>
            <w:r>
              <w:rPr>
                <w:b/>
                <w:sz w:val="20"/>
              </w:rPr>
              <w:t>65</w:t>
            </w:r>
            <w:r>
              <w:rPr>
                <w:b/>
                <w:spacing w:val="-4"/>
                <w:sz w:val="20"/>
              </w:rPr>
              <w:t xml:space="preserve"> </w:t>
            </w:r>
            <w:r>
              <w:rPr>
                <w:b/>
                <w:sz w:val="20"/>
              </w:rPr>
              <w:t>years</w:t>
            </w:r>
            <w:r>
              <w:rPr>
                <w:b/>
                <w:spacing w:val="-6"/>
                <w:sz w:val="20"/>
              </w:rPr>
              <w:t xml:space="preserve"> </w:t>
            </w:r>
            <w:r>
              <w:rPr>
                <w:b/>
                <w:spacing w:val="-5"/>
                <w:sz w:val="20"/>
              </w:rPr>
              <w:t>old</w:t>
            </w:r>
          </w:p>
        </w:tc>
      </w:tr>
      <w:tr w:rsidR="002D0CA3" w14:paraId="763A4359" w14:textId="77777777" w:rsidTr="1D461D87">
        <w:trPr>
          <w:trHeight w:val="349"/>
        </w:trPr>
        <w:tc>
          <w:tcPr>
            <w:tcW w:w="2621" w:type="dxa"/>
          </w:tcPr>
          <w:p w14:paraId="773FC849" w14:textId="2ACB98F2" w:rsidR="002D0CA3" w:rsidRDefault="002D0CA3" w:rsidP="002D0CA3">
            <w:pPr>
              <w:pStyle w:val="TableParagraph"/>
              <w:spacing w:before="120"/>
              <w:ind w:left="107"/>
              <w:rPr>
                <w:spacing w:val="-4"/>
                <w:sz w:val="20"/>
              </w:rPr>
            </w:pPr>
            <w:r>
              <w:rPr>
                <w:sz w:val="20"/>
              </w:rPr>
              <w:t>Listed</w:t>
            </w:r>
            <w:r>
              <w:rPr>
                <w:spacing w:val="-9"/>
                <w:sz w:val="20"/>
              </w:rPr>
              <w:t xml:space="preserve"> </w:t>
            </w:r>
            <w:r>
              <w:rPr>
                <w:spacing w:val="-2"/>
                <w:sz w:val="20"/>
              </w:rPr>
              <w:t>equities</w:t>
            </w:r>
          </w:p>
        </w:tc>
        <w:tc>
          <w:tcPr>
            <w:tcW w:w="1594" w:type="dxa"/>
          </w:tcPr>
          <w:p w14:paraId="64F39054" w14:textId="402A575C" w:rsidR="002D0CA3" w:rsidRPr="0092200C" w:rsidRDefault="002D0CA3" w:rsidP="002D0CA3">
            <w:pPr>
              <w:pStyle w:val="TableParagraph"/>
              <w:spacing w:before="120"/>
              <w:ind w:left="108" w:right="567"/>
              <w:jc w:val="right"/>
              <w:rPr>
                <w:spacing w:val="-5"/>
                <w:sz w:val="20"/>
                <w:highlight w:val="lightGray"/>
              </w:rPr>
            </w:pPr>
            <w:r w:rsidRPr="00B311FC">
              <w:t>78.0</w:t>
            </w:r>
          </w:p>
        </w:tc>
        <w:tc>
          <w:tcPr>
            <w:tcW w:w="1595" w:type="dxa"/>
          </w:tcPr>
          <w:p w14:paraId="6EF4D170" w14:textId="3366332C" w:rsidR="002D0CA3" w:rsidRPr="0092200C" w:rsidRDefault="002D0CA3" w:rsidP="002D0CA3">
            <w:pPr>
              <w:pStyle w:val="TableParagraph"/>
              <w:spacing w:before="120"/>
              <w:ind w:left="108" w:right="567"/>
              <w:jc w:val="right"/>
              <w:rPr>
                <w:spacing w:val="-5"/>
                <w:sz w:val="20"/>
                <w:highlight w:val="lightGray"/>
              </w:rPr>
            </w:pPr>
            <w:r w:rsidRPr="00B311FC">
              <w:t>78.0</w:t>
            </w:r>
          </w:p>
        </w:tc>
        <w:tc>
          <w:tcPr>
            <w:tcW w:w="1595" w:type="dxa"/>
          </w:tcPr>
          <w:p w14:paraId="4113973F" w14:textId="72C5F526" w:rsidR="002D0CA3" w:rsidRPr="0092200C" w:rsidRDefault="002D0CA3" w:rsidP="002D0CA3">
            <w:pPr>
              <w:pStyle w:val="TableParagraph"/>
              <w:spacing w:before="120"/>
              <w:ind w:left="108" w:right="567"/>
              <w:jc w:val="right"/>
              <w:rPr>
                <w:spacing w:val="-5"/>
                <w:sz w:val="20"/>
                <w:highlight w:val="lightGray"/>
              </w:rPr>
            </w:pPr>
            <w:r w:rsidRPr="00B311FC">
              <w:t>44.2</w:t>
            </w:r>
          </w:p>
        </w:tc>
        <w:tc>
          <w:tcPr>
            <w:tcW w:w="1595" w:type="dxa"/>
          </w:tcPr>
          <w:p w14:paraId="279E128C" w14:textId="2F5AAEAA" w:rsidR="002D0CA3" w:rsidRPr="0092200C" w:rsidRDefault="002D0CA3" w:rsidP="002D0CA3">
            <w:pPr>
              <w:pStyle w:val="TableParagraph"/>
              <w:spacing w:before="120"/>
              <w:ind w:left="109" w:right="567"/>
              <w:jc w:val="right"/>
              <w:rPr>
                <w:spacing w:val="-5"/>
                <w:sz w:val="20"/>
                <w:highlight w:val="lightGray"/>
              </w:rPr>
            </w:pPr>
            <w:r w:rsidRPr="00B311FC">
              <w:t>14.1</w:t>
            </w:r>
          </w:p>
        </w:tc>
      </w:tr>
      <w:tr w:rsidR="002D0CA3" w14:paraId="292A26A3" w14:textId="77777777" w:rsidTr="1D461D87">
        <w:trPr>
          <w:trHeight w:val="349"/>
        </w:trPr>
        <w:tc>
          <w:tcPr>
            <w:tcW w:w="2621" w:type="dxa"/>
          </w:tcPr>
          <w:p w14:paraId="11B75531" w14:textId="003CDA6E" w:rsidR="002D0CA3" w:rsidRDefault="002D0CA3" w:rsidP="002D0CA3">
            <w:pPr>
              <w:pStyle w:val="TableParagraph"/>
              <w:spacing w:before="120"/>
              <w:ind w:left="107"/>
              <w:rPr>
                <w:spacing w:val="-4"/>
                <w:sz w:val="20"/>
              </w:rPr>
            </w:pPr>
            <w:r>
              <w:rPr>
                <w:spacing w:val="-4"/>
                <w:sz w:val="20"/>
              </w:rPr>
              <w:t>Corporate bonds</w:t>
            </w:r>
          </w:p>
        </w:tc>
        <w:tc>
          <w:tcPr>
            <w:tcW w:w="1594" w:type="dxa"/>
          </w:tcPr>
          <w:p w14:paraId="414BE1B6" w14:textId="1EF843DE" w:rsidR="002D0CA3" w:rsidRPr="0092200C" w:rsidRDefault="002D0CA3" w:rsidP="002D0CA3">
            <w:pPr>
              <w:pStyle w:val="TableParagraph"/>
              <w:spacing w:before="120"/>
              <w:ind w:left="108" w:right="567"/>
              <w:jc w:val="right"/>
              <w:rPr>
                <w:spacing w:val="-5"/>
                <w:sz w:val="20"/>
                <w:highlight w:val="lightGray"/>
              </w:rPr>
            </w:pPr>
            <w:r w:rsidRPr="00B311FC">
              <w:t>6.</w:t>
            </w:r>
            <w:r w:rsidR="0019200A">
              <w:t>6</w:t>
            </w:r>
          </w:p>
        </w:tc>
        <w:tc>
          <w:tcPr>
            <w:tcW w:w="1595" w:type="dxa"/>
          </w:tcPr>
          <w:p w14:paraId="171EE3B4" w14:textId="355050C6" w:rsidR="002D0CA3" w:rsidRPr="0092200C" w:rsidRDefault="002D0CA3" w:rsidP="002D0CA3">
            <w:pPr>
              <w:pStyle w:val="TableParagraph"/>
              <w:spacing w:before="120"/>
              <w:ind w:left="108" w:right="567"/>
              <w:jc w:val="right"/>
              <w:rPr>
                <w:spacing w:val="-5"/>
                <w:sz w:val="20"/>
                <w:highlight w:val="lightGray"/>
              </w:rPr>
            </w:pPr>
            <w:r w:rsidRPr="00B311FC">
              <w:t>6.</w:t>
            </w:r>
            <w:r w:rsidR="0019200A">
              <w:t>6</w:t>
            </w:r>
          </w:p>
        </w:tc>
        <w:tc>
          <w:tcPr>
            <w:tcW w:w="1595" w:type="dxa"/>
          </w:tcPr>
          <w:p w14:paraId="1712290A" w14:textId="65378D73" w:rsidR="002D0CA3" w:rsidRPr="0092200C" w:rsidRDefault="002D0CA3" w:rsidP="002D0CA3">
            <w:pPr>
              <w:pStyle w:val="TableParagraph"/>
              <w:spacing w:before="120"/>
              <w:ind w:left="108" w:right="567"/>
              <w:jc w:val="right"/>
              <w:rPr>
                <w:spacing w:val="-5"/>
                <w:sz w:val="20"/>
                <w:highlight w:val="lightGray"/>
              </w:rPr>
            </w:pPr>
            <w:r w:rsidRPr="00B311FC">
              <w:t>17.</w:t>
            </w:r>
            <w:r w:rsidR="0019200A">
              <w:t>6</w:t>
            </w:r>
          </w:p>
        </w:tc>
        <w:tc>
          <w:tcPr>
            <w:tcW w:w="1595" w:type="dxa"/>
          </w:tcPr>
          <w:p w14:paraId="2EBD2466" w14:textId="5B81C621" w:rsidR="002D0CA3" w:rsidRPr="0092200C" w:rsidRDefault="002D0CA3" w:rsidP="002D0CA3">
            <w:pPr>
              <w:pStyle w:val="TableParagraph"/>
              <w:spacing w:before="120"/>
              <w:ind w:left="109" w:right="567"/>
              <w:jc w:val="right"/>
              <w:rPr>
                <w:spacing w:val="-5"/>
                <w:sz w:val="20"/>
                <w:highlight w:val="lightGray"/>
              </w:rPr>
            </w:pPr>
            <w:r w:rsidRPr="00B311FC">
              <w:t>28.9</w:t>
            </w:r>
          </w:p>
        </w:tc>
      </w:tr>
      <w:tr w:rsidR="002D0CA3" w14:paraId="221A9C68" w14:textId="77777777" w:rsidTr="1D461D87">
        <w:trPr>
          <w:trHeight w:val="349"/>
        </w:trPr>
        <w:tc>
          <w:tcPr>
            <w:tcW w:w="2621" w:type="dxa"/>
          </w:tcPr>
          <w:p w14:paraId="012EFE32" w14:textId="43CAE72F" w:rsidR="002D0CA3" w:rsidRDefault="002D0CA3" w:rsidP="002D0CA3">
            <w:pPr>
              <w:pStyle w:val="TableParagraph"/>
              <w:spacing w:before="120"/>
              <w:ind w:left="107"/>
              <w:rPr>
                <w:spacing w:val="-4"/>
                <w:sz w:val="20"/>
              </w:rPr>
            </w:pPr>
            <w:r>
              <w:rPr>
                <w:spacing w:val="-4"/>
                <w:sz w:val="20"/>
              </w:rPr>
              <w:t>Government bonds</w:t>
            </w:r>
          </w:p>
        </w:tc>
        <w:tc>
          <w:tcPr>
            <w:tcW w:w="1594" w:type="dxa"/>
          </w:tcPr>
          <w:p w14:paraId="02DA7D7D" w14:textId="1C9AD4CE" w:rsidR="002D0CA3" w:rsidRPr="0092200C" w:rsidRDefault="002D0CA3" w:rsidP="002D0CA3">
            <w:pPr>
              <w:pStyle w:val="TableParagraph"/>
              <w:spacing w:before="120"/>
              <w:ind w:left="108" w:right="567"/>
              <w:jc w:val="right"/>
              <w:rPr>
                <w:spacing w:val="-5"/>
                <w:sz w:val="20"/>
                <w:highlight w:val="lightGray"/>
              </w:rPr>
            </w:pPr>
            <w:r w:rsidRPr="00B311FC">
              <w:t>4.5</w:t>
            </w:r>
          </w:p>
        </w:tc>
        <w:tc>
          <w:tcPr>
            <w:tcW w:w="1595" w:type="dxa"/>
          </w:tcPr>
          <w:p w14:paraId="130CD62B" w14:textId="7AE29D20" w:rsidR="002D0CA3" w:rsidRPr="0092200C" w:rsidRDefault="002D0CA3" w:rsidP="002D0CA3">
            <w:pPr>
              <w:pStyle w:val="TableParagraph"/>
              <w:spacing w:before="120"/>
              <w:ind w:left="108" w:right="567"/>
              <w:jc w:val="right"/>
              <w:rPr>
                <w:spacing w:val="-5"/>
                <w:sz w:val="20"/>
                <w:highlight w:val="lightGray"/>
              </w:rPr>
            </w:pPr>
            <w:r w:rsidRPr="00B311FC">
              <w:t>4.5</w:t>
            </w:r>
          </w:p>
        </w:tc>
        <w:tc>
          <w:tcPr>
            <w:tcW w:w="1595" w:type="dxa"/>
          </w:tcPr>
          <w:p w14:paraId="6E80DF9C" w14:textId="62B2E0F7" w:rsidR="002D0CA3" w:rsidRPr="0092200C" w:rsidRDefault="002D0CA3" w:rsidP="002D0CA3">
            <w:pPr>
              <w:pStyle w:val="TableParagraph"/>
              <w:spacing w:before="120"/>
              <w:ind w:left="108" w:right="567"/>
              <w:jc w:val="right"/>
              <w:rPr>
                <w:spacing w:val="-5"/>
                <w:sz w:val="20"/>
                <w:highlight w:val="lightGray"/>
              </w:rPr>
            </w:pPr>
            <w:r w:rsidRPr="00B311FC">
              <w:t>11.3</w:t>
            </w:r>
          </w:p>
        </w:tc>
        <w:tc>
          <w:tcPr>
            <w:tcW w:w="1595" w:type="dxa"/>
          </w:tcPr>
          <w:p w14:paraId="610F46C3" w14:textId="036D45D1" w:rsidR="002D0CA3" w:rsidRPr="0092200C" w:rsidRDefault="002D0CA3" w:rsidP="002D0CA3">
            <w:pPr>
              <w:pStyle w:val="TableParagraph"/>
              <w:spacing w:before="120"/>
              <w:ind w:left="109" w:right="567"/>
              <w:jc w:val="right"/>
              <w:rPr>
                <w:spacing w:val="-5"/>
                <w:sz w:val="20"/>
                <w:highlight w:val="lightGray"/>
              </w:rPr>
            </w:pPr>
            <w:r w:rsidRPr="00B311FC">
              <w:t>14.6</w:t>
            </w:r>
          </w:p>
        </w:tc>
      </w:tr>
      <w:tr w:rsidR="002D0CA3" w14:paraId="547A5936" w14:textId="77777777" w:rsidTr="1D461D87">
        <w:trPr>
          <w:trHeight w:val="349"/>
        </w:trPr>
        <w:tc>
          <w:tcPr>
            <w:tcW w:w="2621" w:type="dxa"/>
          </w:tcPr>
          <w:p w14:paraId="4CCFBB97" w14:textId="578E9C92" w:rsidR="002D0CA3" w:rsidRDefault="002D0CA3" w:rsidP="002D0CA3">
            <w:pPr>
              <w:pStyle w:val="TableParagraph"/>
              <w:spacing w:before="120"/>
              <w:ind w:left="107"/>
              <w:rPr>
                <w:spacing w:val="-4"/>
                <w:sz w:val="20"/>
              </w:rPr>
            </w:pPr>
            <w:r>
              <w:rPr>
                <w:sz w:val="20"/>
              </w:rPr>
              <w:t>Alternative &amp; active credit</w:t>
            </w:r>
          </w:p>
        </w:tc>
        <w:tc>
          <w:tcPr>
            <w:tcW w:w="1594" w:type="dxa"/>
          </w:tcPr>
          <w:p w14:paraId="585C7B74" w14:textId="121C0D7D" w:rsidR="002D0CA3" w:rsidRPr="0092200C" w:rsidRDefault="002D0CA3" w:rsidP="002D0CA3">
            <w:pPr>
              <w:pStyle w:val="TableParagraph"/>
              <w:spacing w:before="120"/>
              <w:ind w:left="108" w:right="567"/>
              <w:jc w:val="right"/>
              <w:rPr>
                <w:spacing w:val="-5"/>
                <w:sz w:val="20"/>
                <w:highlight w:val="lightGray"/>
              </w:rPr>
            </w:pPr>
            <w:r w:rsidRPr="00B311FC">
              <w:t>4.6</w:t>
            </w:r>
          </w:p>
        </w:tc>
        <w:tc>
          <w:tcPr>
            <w:tcW w:w="1595" w:type="dxa"/>
          </w:tcPr>
          <w:p w14:paraId="6EF8E4AF" w14:textId="593E2E7A" w:rsidR="002D0CA3" w:rsidRPr="0092200C" w:rsidRDefault="002D0CA3" w:rsidP="002D0CA3">
            <w:pPr>
              <w:pStyle w:val="TableParagraph"/>
              <w:spacing w:before="120"/>
              <w:ind w:left="108" w:right="567"/>
              <w:jc w:val="right"/>
              <w:rPr>
                <w:spacing w:val="-5"/>
                <w:sz w:val="20"/>
                <w:highlight w:val="lightGray"/>
              </w:rPr>
            </w:pPr>
            <w:r w:rsidRPr="00B311FC">
              <w:t>4.6</w:t>
            </w:r>
          </w:p>
        </w:tc>
        <w:tc>
          <w:tcPr>
            <w:tcW w:w="1595" w:type="dxa"/>
          </w:tcPr>
          <w:p w14:paraId="5D69FBB8" w14:textId="4189F5C2" w:rsidR="002D0CA3" w:rsidRPr="0092200C" w:rsidRDefault="002D0CA3" w:rsidP="002D0CA3">
            <w:pPr>
              <w:pStyle w:val="TableParagraph"/>
              <w:spacing w:before="120"/>
              <w:ind w:left="108" w:right="567"/>
              <w:jc w:val="right"/>
              <w:rPr>
                <w:spacing w:val="-5"/>
                <w:sz w:val="20"/>
                <w:highlight w:val="lightGray"/>
              </w:rPr>
            </w:pPr>
            <w:r w:rsidRPr="00B311FC">
              <w:t>10.2</w:t>
            </w:r>
          </w:p>
        </w:tc>
        <w:tc>
          <w:tcPr>
            <w:tcW w:w="1595" w:type="dxa"/>
          </w:tcPr>
          <w:p w14:paraId="45EA9C48" w14:textId="64A5DB7B" w:rsidR="002D0CA3" w:rsidRPr="0092200C" w:rsidRDefault="002D0CA3" w:rsidP="002D0CA3">
            <w:pPr>
              <w:pStyle w:val="TableParagraph"/>
              <w:spacing w:before="120"/>
              <w:ind w:left="109" w:right="567"/>
              <w:jc w:val="right"/>
              <w:rPr>
                <w:spacing w:val="-5"/>
                <w:sz w:val="20"/>
                <w:highlight w:val="lightGray"/>
              </w:rPr>
            </w:pPr>
            <w:r w:rsidRPr="00B311FC">
              <w:t>9.8</w:t>
            </w:r>
          </w:p>
        </w:tc>
      </w:tr>
      <w:tr w:rsidR="002D0CA3" w14:paraId="10C36C22" w14:textId="77777777" w:rsidTr="1D461D87">
        <w:trPr>
          <w:trHeight w:val="349"/>
        </w:trPr>
        <w:tc>
          <w:tcPr>
            <w:tcW w:w="2621" w:type="dxa"/>
          </w:tcPr>
          <w:p w14:paraId="5CC4A0A7" w14:textId="18C199A0" w:rsidR="002D0CA3" w:rsidRDefault="002D0CA3" w:rsidP="002D0CA3">
            <w:pPr>
              <w:pStyle w:val="TableParagraph"/>
              <w:spacing w:before="120"/>
              <w:ind w:left="107"/>
              <w:rPr>
                <w:spacing w:val="-4"/>
                <w:sz w:val="20"/>
              </w:rPr>
            </w:pPr>
            <w:r>
              <w:rPr>
                <w:spacing w:val="-4"/>
                <w:sz w:val="20"/>
              </w:rPr>
              <w:t>Listed alternatives</w:t>
            </w:r>
          </w:p>
        </w:tc>
        <w:tc>
          <w:tcPr>
            <w:tcW w:w="1594" w:type="dxa"/>
          </w:tcPr>
          <w:p w14:paraId="7E541F3A" w14:textId="49E1ECE0" w:rsidR="002D0CA3" w:rsidRPr="0092200C" w:rsidRDefault="002D0CA3" w:rsidP="002D0CA3">
            <w:pPr>
              <w:pStyle w:val="TableParagraph"/>
              <w:spacing w:before="120"/>
              <w:ind w:left="108" w:right="567"/>
              <w:jc w:val="right"/>
              <w:rPr>
                <w:spacing w:val="-5"/>
                <w:sz w:val="20"/>
                <w:highlight w:val="lightGray"/>
              </w:rPr>
            </w:pPr>
            <w:r w:rsidRPr="00B311FC">
              <w:t>4.8</w:t>
            </w:r>
          </w:p>
        </w:tc>
        <w:tc>
          <w:tcPr>
            <w:tcW w:w="1595" w:type="dxa"/>
          </w:tcPr>
          <w:p w14:paraId="7C3EEEE0" w14:textId="7B493C7E" w:rsidR="002D0CA3" w:rsidRPr="0092200C" w:rsidRDefault="002D0CA3" w:rsidP="002D0CA3">
            <w:pPr>
              <w:pStyle w:val="TableParagraph"/>
              <w:spacing w:before="120"/>
              <w:ind w:left="108" w:right="567"/>
              <w:jc w:val="right"/>
              <w:rPr>
                <w:spacing w:val="-5"/>
                <w:sz w:val="20"/>
                <w:highlight w:val="lightGray"/>
              </w:rPr>
            </w:pPr>
            <w:r w:rsidRPr="00B311FC">
              <w:t>4.8</w:t>
            </w:r>
          </w:p>
        </w:tc>
        <w:tc>
          <w:tcPr>
            <w:tcW w:w="1595" w:type="dxa"/>
          </w:tcPr>
          <w:p w14:paraId="155EFC7E" w14:textId="43A295ED" w:rsidR="002D0CA3" w:rsidRPr="0092200C" w:rsidRDefault="002D0CA3" w:rsidP="002D0CA3">
            <w:pPr>
              <w:pStyle w:val="TableParagraph"/>
              <w:spacing w:before="120"/>
              <w:ind w:left="108" w:right="567"/>
              <w:jc w:val="right"/>
              <w:rPr>
                <w:spacing w:val="-5"/>
                <w:sz w:val="20"/>
                <w:highlight w:val="lightGray"/>
              </w:rPr>
            </w:pPr>
            <w:r w:rsidRPr="00B311FC">
              <w:t>10.3</w:t>
            </w:r>
          </w:p>
        </w:tc>
        <w:tc>
          <w:tcPr>
            <w:tcW w:w="1595" w:type="dxa"/>
          </w:tcPr>
          <w:p w14:paraId="78091DA6" w14:textId="4F5E6B28" w:rsidR="002D0CA3" w:rsidRPr="0092200C" w:rsidRDefault="002D0CA3" w:rsidP="002D0CA3">
            <w:pPr>
              <w:pStyle w:val="TableParagraph"/>
              <w:spacing w:before="120"/>
              <w:ind w:left="109" w:right="567"/>
              <w:jc w:val="right"/>
              <w:rPr>
                <w:spacing w:val="-5"/>
                <w:sz w:val="20"/>
                <w:highlight w:val="lightGray"/>
              </w:rPr>
            </w:pPr>
            <w:r w:rsidRPr="00B311FC">
              <w:t>7.8</w:t>
            </w:r>
          </w:p>
        </w:tc>
      </w:tr>
      <w:tr w:rsidR="002D0CA3" w14:paraId="533F5992" w14:textId="77777777" w:rsidTr="1D461D87">
        <w:trPr>
          <w:trHeight w:val="349"/>
        </w:trPr>
        <w:tc>
          <w:tcPr>
            <w:tcW w:w="2621" w:type="dxa"/>
          </w:tcPr>
          <w:p w14:paraId="533F598D" w14:textId="77777777" w:rsidR="002D0CA3" w:rsidRDefault="002D0CA3" w:rsidP="002D0CA3">
            <w:pPr>
              <w:pStyle w:val="TableParagraph"/>
              <w:spacing w:before="120"/>
              <w:ind w:left="107"/>
              <w:rPr>
                <w:sz w:val="20"/>
              </w:rPr>
            </w:pPr>
            <w:r>
              <w:rPr>
                <w:spacing w:val="-4"/>
                <w:sz w:val="20"/>
              </w:rPr>
              <w:t>Cash</w:t>
            </w:r>
          </w:p>
        </w:tc>
        <w:tc>
          <w:tcPr>
            <w:tcW w:w="1594" w:type="dxa"/>
          </w:tcPr>
          <w:p w14:paraId="533F598E" w14:textId="7441B100" w:rsidR="002D0CA3" w:rsidRPr="0092200C" w:rsidRDefault="002D0CA3" w:rsidP="002D0CA3">
            <w:pPr>
              <w:pStyle w:val="TableParagraph"/>
              <w:spacing w:before="120"/>
              <w:ind w:left="108" w:right="567"/>
              <w:jc w:val="right"/>
              <w:rPr>
                <w:sz w:val="20"/>
                <w:highlight w:val="lightGray"/>
              </w:rPr>
            </w:pPr>
            <w:r w:rsidRPr="00B311FC">
              <w:t>0.5</w:t>
            </w:r>
          </w:p>
        </w:tc>
        <w:tc>
          <w:tcPr>
            <w:tcW w:w="1595" w:type="dxa"/>
          </w:tcPr>
          <w:p w14:paraId="533F598F" w14:textId="1730342E" w:rsidR="002D0CA3" w:rsidRPr="0092200C" w:rsidRDefault="002D0CA3" w:rsidP="002D0CA3">
            <w:pPr>
              <w:pStyle w:val="TableParagraph"/>
              <w:spacing w:before="120"/>
              <w:ind w:left="108" w:right="567"/>
              <w:jc w:val="right"/>
              <w:rPr>
                <w:sz w:val="20"/>
                <w:highlight w:val="lightGray"/>
              </w:rPr>
            </w:pPr>
            <w:r w:rsidRPr="00B311FC">
              <w:t>0.5</w:t>
            </w:r>
          </w:p>
        </w:tc>
        <w:tc>
          <w:tcPr>
            <w:tcW w:w="1595" w:type="dxa"/>
          </w:tcPr>
          <w:p w14:paraId="533F5990" w14:textId="2F4E80D5" w:rsidR="002D0CA3" w:rsidRPr="0092200C" w:rsidRDefault="002D0CA3" w:rsidP="002D0CA3">
            <w:pPr>
              <w:pStyle w:val="TableParagraph"/>
              <w:spacing w:before="120"/>
              <w:ind w:left="108" w:right="567"/>
              <w:jc w:val="right"/>
              <w:rPr>
                <w:sz w:val="20"/>
                <w:highlight w:val="lightGray"/>
              </w:rPr>
            </w:pPr>
            <w:r w:rsidRPr="00B311FC">
              <w:t>2.2</w:t>
            </w:r>
          </w:p>
        </w:tc>
        <w:tc>
          <w:tcPr>
            <w:tcW w:w="1595" w:type="dxa"/>
          </w:tcPr>
          <w:p w14:paraId="533F5991" w14:textId="71B14717" w:rsidR="002D0CA3" w:rsidRPr="0092200C" w:rsidRDefault="002D0CA3" w:rsidP="002D0CA3">
            <w:pPr>
              <w:pStyle w:val="TableParagraph"/>
              <w:spacing w:before="120"/>
              <w:ind w:left="109" w:right="567"/>
              <w:jc w:val="right"/>
              <w:rPr>
                <w:sz w:val="20"/>
                <w:highlight w:val="lightGray"/>
              </w:rPr>
            </w:pPr>
            <w:r w:rsidRPr="00B311FC">
              <w:t>8.9</w:t>
            </w:r>
          </w:p>
        </w:tc>
      </w:tr>
      <w:tr w:rsidR="002D0CA3" w14:paraId="4D0AA336" w14:textId="77777777" w:rsidTr="1D461D87">
        <w:trPr>
          <w:trHeight w:val="349"/>
        </w:trPr>
        <w:tc>
          <w:tcPr>
            <w:tcW w:w="2621" w:type="dxa"/>
          </w:tcPr>
          <w:p w14:paraId="3FB653ED" w14:textId="2522EA13" w:rsidR="002D0CA3" w:rsidRDefault="29AE179B" w:rsidP="1D461D87">
            <w:pPr>
              <w:pStyle w:val="TableParagraph"/>
              <w:spacing w:before="120"/>
              <w:ind w:left="107"/>
              <w:rPr>
                <w:spacing w:val="-4"/>
                <w:sz w:val="20"/>
              </w:rPr>
            </w:pPr>
            <w:r w:rsidRPr="13AD0311">
              <w:rPr>
                <w:spacing w:val="-4"/>
                <w:sz w:val="20"/>
                <w:szCs w:val="20"/>
              </w:rPr>
              <w:t xml:space="preserve">Private Markets </w:t>
            </w:r>
          </w:p>
        </w:tc>
        <w:tc>
          <w:tcPr>
            <w:tcW w:w="1594" w:type="dxa"/>
          </w:tcPr>
          <w:p w14:paraId="50BE7DBE" w14:textId="3085214C" w:rsidR="002D0CA3" w:rsidRPr="00CA17EE" w:rsidRDefault="002D0CA3" w:rsidP="002D0CA3">
            <w:pPr>
              <w:pStyle w:val="TableParagraph"/>
              <w:spacing w:before="120"/>
              <w:ind w:left="108" w:right="567"/>
              <w:jc w:val="right"/>
            </w:pPr>
            <w:r w:rsidRPr="00B311FC">
              <w:t>1.0</w:t>
            </w:r>
          </w:p>
        </w:tc>
        <w:tc>
          <w:tcPr>
            <w:tcW w:w="1595" w:type="dxa"/>
          </w:tcPr>
          <w:p w14:paraId="36EAC947" w14:textId="7E5B3ABF" w:rsidR="002D0CA3" w:rsidRPr="00CA17EE" w:rsidRDefault="002D0CA3" w:rsidP="002D0CA3">
            <w:pPr>
              <w:pStyle w:val="TableParagraph"/>
              <w:spacing w:before="120"/>
              <w:ind w:left="108" w:right="567"/>
              <w:jc w:val="right"/>
            </w:pPr>
            <w:r w:rsidRPr="00B311FC">
              <w:t>1.0</w:t>
            </w:r>
          </w:p>
        </w:tc>
        <w:tc>
          <w:tcPr>
            <w:tcW w:w="1595" w:type="dxa"/>
          </w:tcPr>
          <w:p w14:paraId="683867CE" w14:textId="0CE99EEF" w:rsidR="002D0CA3" w:rsidRPr="00CA17EE" w:rsidRDefault="002D0CA3" w:rsidP="002D0CA3">
            <w:pPr>
              <w:pStyle w:val="TableParagraph"/>
              <w:spacing w:before="120"/>
              <w:ind w:left="108" w:right="567"/>
              <w:jc w:val="right"/>
            </w:pPr>
            <w:r w:rsidRPr="00B311FC">
              <w:t>4.2</w:t>
            </w:r>
          </w:p>
        </w:tc>
        <w:tc>
          <w:tcPr>
            <w:tcW w:w="1595" w:type="dxa"/>
          </w:tcPr>
          <w:p w14:paraId="56F340D2" w14:textId="7982FFE0" w:rsidR="002D0CA3" w:rsidRPr="00CA17EE" w:rsidRDefault="29AE179B" w:rsidP="002D0CA3">
            <w:pPr>
              <w:pStyle w:val="TableParagraph"/>
              <w:spacing w:before="120"/>
              <w:ind w:left="109" w:right="567"/>
              <w:jc w:val="right"/>
            </w:pPr>
            <w:r>
              <w:t>15.9</w:t>
            </w:r>
          </w:p>
        </w:tc>
      </w:tr>
    </w:tbl>
    <w:p w14:paraId="533F59BD" w14:textId="77777777" w:rsidR="00AB3475" w:rsidRDefault="00AB3475">
      <w:pPr>
        <w:pStyle w:val="BodyText"/>
        <w:spacing w:before="2"/>
      </w:pPr>
    </w:p>
    <w:p w14:paraId="533F59C1" w14:textId="58BC9F21" w:rsidR="00AB3475" w:rsidRDefault="00A853B3" w:rsidP="00E43394">
      <w:pPr>
        <w:pStyle w:val="Heading2"/>
        <w:numPr>
          <w:ilvl w:val="1"/>
          <w:numId w:val="13"/>
        </w:numPr>
        <w:tabs>
          <w:tab w:val="left" w:pos="568"/>
        </w:tabs>
        <w:ind w:right="744"/>
      </w:pPr>
      <w:r>
        <w:t>Specified</w:t>
      </w:r>
      <w:r>
        <w:rPr>
          <w:spacing w:val="-14"/>
        </w:rPr>
        <w:t xml:space="preserve"> </w:t>
      </w:r>
      <w:r>
        <w:t>performance</w:t>
      </w:r>
      <w:r>
        <w:rPr>
          <w:spacing w:val="-14"/>
        </w:rPr>
        <w:t xml:space="preserve"> </w:t>
      </w:r>
      <w:r w:rsidR="0093360D">
        <w:t>based fees</w:t>
      </w:r>
    </w:p>
    <w:p w14:paraId="533F59C2" w14:textId="77777777" w:rsidR="00AB3475" w:rsidRDefault="00AB3475" w:rsidP="00E43394">
      <w:pPr>
        <w:pStyle w:val="BodyText"/>
        <w:ind w:right="744"/>
        <w:rPr>
          <w:b/>
        </w:rPr>
      </w:pPr>
    </w:p>
    <w:p w14:paraId="533F59C3" w14:textId="59FAEF65" w:rsidR="00AB3475" w:rsidRDefault="00A853B3" w:rsidP="00EE5AEF">
      <w:pPr>
        <w:pStyle w:val="BodyText"/>
        <w:tabs>
          <w:tab w:val="left" w:pos="9072"/>
        </w:tabs>
        <w:spacing w:before="1"/>
        <w:ind w:left="199" w:right="668"/>
        <w:jc w:val="both"/>
      </w:pPr>
      <w:r>
        <w:t>Where</w:t>
      </w:r>
      <w:r>
        <w:rPr>
          <w:spacing w:val="-10"/>
        </w:rPr>
        <w:t xml:space="preserve"> </w:t>
      </w:r>
      <w:r>
        <w:t>a</w:t>
      </w:r>
      <w:r>
        <w:rPr>
          <w:spacing w:val="-10"/>
        </w:rPr>
        <w:t xml:space="preserve"> </w:t>
      </w:r>
      <w:r>
        <w:t>fee</w:t>
      </w:r>
      <w:r>
        <w:rPr>
          <w:spacing w:val="-11"/>
        </w:rPr>
        <w:t xml:space="preserve"> </w:t>
      </w:r>
      <w:r>
        <w:t>is</w:t>
      </w:r>
      <w:r>
        <w:rPr>
          <w:spacing w:val="-7"/>
        </w:rPr>
        <w:t xml:space="preserve"> </w:t>
      </w:r>
      <w:r>
        <w:t>calculated</w:t>
      </w:r>
      <w:r>
        <w:rPr>
          <w:spacing w:val="-8"/>
        </w:rPr>
        <w:t xml:space="preserve"> </w:t>
      </w:r>
      <w:r>
        <w:t>by</w:t>
      </w:r>
      <w:r>
        <w:rPr>
          <w:spacing w:val="-10"/>
        </w:rPr>
        <w:t xml:space="preserve"> </w:t>
      </w:r>
      <w:r>
        <w:t>reference</w:t>
      </w:r>
      <w:r>
        <w:rPr>
          <w:spacing w:val="-13"/>
        </w:rPr>
        <w:t xml:space="preserve"> </w:t>
      </w:r>
      <w:r>
        <w:t>to</w:t>
      </w:r>
      <w:r>
        <w:rPr>
          <w:spacing w:val="-10"/>
        </w:rPr>
        <w:t xml:space="preserve"> </w:t>
      </w:r>
      <w:r>
        <w:t>the</w:t>
      </w:r>
      <w:r>
        <w:rPr>
          <w:spacing w:val="-11"/>
        </w:rPr>
        <w:t xml:space="preserve"> </w:t>
      </w:r>
      <w:r>
        <w:t>returns</w:t>
      </w:r>
      <w:r>
        <w:rPr>
          <w:spacing w:val="-10"/>
        </w:rPr>
        <w:t xml:space="preserve"> </w:t>
      </w:r>
      <w:r>
        <w:t>from</w:t>
      </w:r>
      <w:r>
        <w:rPr>
          <w:spacing w:val="-7"/>
        </w:rPr>
        <w:t xml:space="preserve"> </w:t>
      </w:r>
      <w:r>
        <w:t>investments</w:t>
      </w:r>
      <w:r>
        <w:rPr>
          <w:spacing w:val="-10"/>
        </w:rPr>
        <w:t xml:space="preserve"> </w:t>
      </w:r>
      <w:r>
        <w:t>held</w:t>
      </w:r>
      <w:r>
        <w:rPr>
          <w:spacing w:val="-10"/>
        </w:rPr>
        <w:t xml:space="preserve"> </w:t>
      </w:r>
      <w:r>
        <w:t>by</w:t>
      </w:r>
      <w:r>
        <w:rPr>
          <w:spacing w:val="-10"/>
        </w:rPr>
        <w:t xml:space="preserve"> </w:t>
      </w:r>
      <w:r w:rsidR="003B29DD">
        <w:t>the Fund</w:t>
      </w:r>
      <w:r>
        <w:rPr>
          <w:spacing w:val="-8"/>
        </w:rPr>
        <w:t xml:space="preserve"> </w:t>
      </w:r>
      <w:r>
        <w:t>and is</w:t>
      </w:r>
      <w:r>
        <w:rPr>
          <w:spacing w:val="-16"/>
        </w:rPr>
        <w:t xml:space="preserve"> </w:t>
      </w:r>
      <w:r>
        <w:t>not</w:t>
      </w:r>
      <w:r>
        <w:rPr>
          <w:spacing w:val="-15"/>
        </w:rPr>
        <w:t xml:space="preserve"> </w:t>
      </w:r>
      <w:r>
        <w:t>calculated</w:t>
      </w:r>
      <w:r>
        <w:rPr>
          <w:spacing w:val="-15"/>
        </w:rPr>
        <w:t xml:space="preserve"> </w:t>
      </w:r>
      <w:r>
        <w:t>by</w:t>
      </w:r>
      <w:r>
        <w:rPr>
          <w:spacing w:val="-16"/>
        </w:rPr>
        <w:t xml:space="preserve"> </w:t>
      </w:r>
      <w:r>
        <w:t>reference</w:t>
      </w:r>
      <w:r>
        <w:rPr>
          <w:spacing w:val="-15"/>
        </w:rPr>
        <w:t xml:space="preserve"> </w:t>
      </w:r>
      <w:r>
        <w:t>to</w:t>
      </w:r>
      <w:r>
        <w:rPr>
          <w:spacing w:val="-15"/>
        </w:rPr>
        <w:t xml:space="preserve"> </w:t>
      </w:r>
      <w:r>
        <w:t>the</w:t>
      </w:r>
      <w:r>
        <w:rPr>
          <w:spacing w:val="-15"/>
        </w:rPr>
        <w:t xml:space="preserve"> </w:t>
      </w:r>
      <w:r>
        <w:t>value</w:t>
      </w:r>
      <w:r>
        <w:rPr>
          <w:spacing w:val="-16"/>
        </w:rPr>
        <w:t xml:space="preserve"> </w:t>
      </w:r>
      <w:r>
        <w:t>of</w:t>
      </w:r>
      <w:r>
        <w:rPr>
          <w:spacing w:val="-15"/>
        </w:rPr>
        <w:t xml:space="preserve"> </w:t>
      </w:r>
      <w:r>
        <w:t>the</w:t>
      </w:r>
      <w:r>
        <w:rPr>
          <w:spacing w:val="-15"/>
        </w:rPr>
        <w:t xml:space="preserve"> </w:t>
      </w:r>
      <w:r>
        <w:t>member’s</w:t>
      </w:r>
      <w:r>
        <w:rPr>
          <w:spacing w:val="-16"/>
        </w:rPr>
        <w:t xml:space="preserve"> </w:t>
      </w:r>
      <w:r>
        <w:t>rights</w:t>
      </w:r>
      <w:r>
        <w:rPr>
          <w:spacing w:val="-15"/>
        </w:rPr>
        <w:t xml:space="preserve"> </w:t>
      </w:r>
      <w:r>
        <w:t>under</w:t>
      </w:r>
      <w:r>
        <w:rPr>
          <w:spacing w:val="-15"/>
        </w:rPr>
        <w:t xml:space="preserve"> </w:t>
      </w:r>
      <w:r w:rsidR="003B29DD">
        <w:t>the Fund</w:t>
      </w:r>
      <w:r>
        <w:t>,</w:t>
      </w:r>
      <w:r>
        <w:rPr>
          <w:spacing w:val="-16"/>
        </w:rPr>
        <w:t xml:space="preserve"> </w:t>
      </w:r>
      <w:r>
        <w:t>the</w:t>
      </w:r>
      <w:r>
        <w:rPr>
          <w:spacing w:val="-15"/>
        </w:rPr>
        <w:t xml:space="preserve"> </w:t>
      </w:r>
      <w:r>
        <w:t xml:space="preserve">Trustee must state the amount of any such performance-based fees in relation to each default </w:t>
      </w:r>
      <w:r>
        <w:rPr>
          <w:spacing w:val="-2"/>
        </w:rPr>
        <w:t>arrangement.</w:t>
      </w:r>
    </w:p>
    <w:p w14:paraId="533F59C4" w14:textId="56E4324A" w:rsidR="00AB3475" w:rsidRDefault="00A853B3" w:rsidP="00EE5AEF">
      <w:pPr>
        <w:pStyle w:val="BodyText"/>
        <w:tabs>
          <w:tab w:val="left" w:pos="9072"/>
        </w:tabs>
        <w:spacing w:before="241"/>
        <w:ind w:left="199" w:right="668"/>
        <w:jc w:val="both"/>
      </w:pPr>
      <w:r>
        <w:t xml:space="preserve">During </w:t>
      </w:r>
      <w:r w:rsidR="003B29DD">
        <w:t>the Fund</w:t>
      </w:r>
      <w:r>
        <w:t xml:space="preserve"> Year there were no such fees levied on the default arrangement and accordingly no assessment of the extent to which they</w:t>
      </w:r>
      <w:r>
        <w:rPr>
          <w:spacing w:val="-2"/>
        </w:rPr>
        <w:t xml:space="preserve"> </w:t>
      </w:r>
      <w:r>
        <w:t xml:space="preserve">represent good value has been carried </w:t>
      </w:r>
      <w:r>
        <w:rPr>
          <w:spacing w:val="-4"/>
        </w:rPr>
        <w:t>out.</w:t>
      </w:r>
    </w:p>
    <w:p w14:paraId="533F59C5" w14:textId="77777777" w:rsidR="00AB3475" w:rsidRPr="008F09D7" w:rsidRDefault="00A853B3" w:rsidP="00EE5AEF">
      <w:pPr>
        <w:pStyle w:val="Heading2"/>
        <w:numPr>
          <w:ilvl w:val="1"/>
          <w:numId w:val="13"/>
        </w:numPr>
        <w:tabs>
          <w:tab w:val="left" w:pos="568"/>
          <w:tab w:val="left" w:pos="9072"/>
        </w:tabs>
        <w:spacing w:before="239"/>
        <w:ind w:right="668"/>
      </w:pPr>
      <w:r>
        <w:t>Review</w:t>
      </w:r>
      <w:r>
        <w:rPr>
          <w:spacing w:val="-5"/>
        </w:rPr>
        <w:t xml:space="preserve"> </w:t>
      </w:r>
      <w:r>
        <w:t>of</w:t>
      </w:r>
      <w:r>
        <w:rPr>
          <w:spacing w:val="-5"/>
        </w:rPr>
        <w:t xml:space="preserve"> </w:t>
      </w:r>
      <w:r>
        <w:t>the</w:t>
      </w:r>
      <w:r>
        <w:rPr>
          <w:spacing w:val="-7"/>
        </w:rPr>
        <w:t xml:space="preserve"> </w:t>
      </w:r>
      <w:r>
        <w:t>investment</w:t>
      </w:r>
      <w:r>
        <w:rPr>
          <w:spacing w:val="-5"/>
        </w:rPr>
        <w:t xml:space="preserve"> </w:t>
      </w:r>
      <w:r>
        <w:t>strategy</w:t>
      </w:r>
      <w:r>
        <w:rPr>
          <w:spacing w:val="-8"/>
        </w:rPr>
        <w:t xml:space="preserve"> </w:t>
      </w:r>
      <w:r>
        <w:t>and</w:t>
      </w:r>
      <w:r>
        <w:rPr>
          <w:spacing w:val="-5"/>
        </w:rPr>
        <w:t xml:space="preserve"> </w:t>
      </w:r>
      <w:r>
        <w:t>performance</w:t>
      </w:r>
      <w:r>
        <w:rPr>
          <w:spacing w:val="-4"/>
        </w:rPr>
        <w:t xml:space="preserve"> </w:t>
      </w:r>
      <w:r>
        <w:t>of</w:t>
      </w:r>
      <w:r>
        <w:rPr>
          <w:spacing w:val="-5"/>
        </w:rPr>
        <w:t xml:space="preserve"> </w:t>
      </w:r>
      <w:r>
        <w:t>the</w:t>
      </w:r>
      <w:r>
        <w:rPr>
          <w:spacing w:val="-4"/>
        </w:rPr>
        <w:t xml:space="preserve"> </w:t>
      </w:r>
      <w:r>
        <w:t>default</w:t>
      </w:r>
      <w:r>
        <w:rPr>
          <w:spacing w:val="-5"/>
        </w:rPr>
        <w:t xml:space="preserve"> </w:t>
      </w:r>
      <w:r>
        <w:rPr>
          <w:spacing w:val="-2"/>
        </w:rPr>
        <w:t>arrangement</w:t>
      </w:r>
    </w:p>
    <w:p w14:paraId="5E522D72" w14:textId="77777777" w:rsidR="00AC1B57" w:rsidRDefault="00AC1B57" w:rsidP="00EE5AEF">
      <w:pPr>
        <w:pStyle w:val="BodyText"/>
        <w:tabs>
          <w:tab w:val="left" w:pos="9072"/>
        </w:tabs>
        <w:ind w:left="199" w:right="668"/>
        <w:jc w:val="both"/>
      </w:pPr>
    </w:p>
    <w:p w14:paraId="5C8D03DB" w14:textId="061E954C" w:rsidR="007B76A5" w:rsidRDefault="007B76A5" w:rsidP="00EE5AEF">
      <w:pPr>
        <w:pStyle w:val="BodyText"/>
        <w:tabs>
          <w:tab w:val="left" w:pos="9072"/>
        </w:tabs>
        <w:ind w:left="199" w:right="668"/>
        <w:jc w:val="both"/>
      </w:pPr>
      <w:r>
        <w:t>The Trustee undertakes a formal investment strategy review</w:t>
      </w:r>
      <w:r>
        <w:rPr>
          <w:spacing w:val="-1"/>
        </w:rPr>
        <w:t xml:space="preserve"> </w:t>
      </w:r>
      <w:r>
        <w:t>of the default arrangement at least every 3 years.</w:t>
      </w:r>
    </w:p>
    <w:p w14:paraId="28D9CD57" w14:textId="77777777" w:rsidR="007B76A5" w:rsidRDefault="007B76A5" w:rsidP="00EE5AEF">
      <w:pPr>
        <w:pStyle w:val="BodyText"/>
        <w:tabs>
          <w:tab w:val="left" w:pos="9072"/>
        </w:tabs>
        <w:ind w:left="199" w:right="668"/>
      </w:pPr>
    </w:p>
    <w:p w14:paraId="46A741D8" w14:textId="0A6E721F" w:rsidR="007B76A5" w:rsidRDefault="007B76A5" w:rsidP="00EE5AEF">
      <w:pPr>
        <w:pStyle w:val="BodyText"/>
        <w:tabs>
          <w:tab w:val="left" w:pos="9072"/>
        </w:tabs>
        <w:spacing w:before="1"/>
        <w:ind w:left="199" w:right="668"/>
        <w:jc w:val="both"/>
      </w:pPr>
      <w:r>
        <w:t>The</w:t>
      </w:r>
      <w:r>
        <w:rPr>
          <w:spacing w:val="-9"/>
        </w:rPr>
        <w:t xml:space="preserve"> </w:t>
      </w:r>
      <w:r>
        <w:t>last</w:t>
      </w:r>
      <w:r>
        <w:rPr>
          <w:spacing w:val="-7"/>
        </w:rPr>
        <w:t xml:space="preserve"> </w:t>
      </w:r>
      <w:r>
        <w:t>review</w:t>
      </w:r>
      <w:r>
        <w:rPr>
          <w:spacing w:val="-12"/>
        </w:rPr>
        <w:t xml:space="preserve"> </w:t>
      </w:r>
      <w:r>
        <w:t>concluded</w:t>
      </w:r>
      <w:r>
        <w:rPr>
          <w:spacing w:val="-9"/>
        </w:rPr>
        <w:t xml:space="preserve"> </w:t>
      </w:r>
      <w:r>
        <w:t>on</w:t>
      </w:r>
      <w:r>
        <w:rPr>
          <w:spacing w:val="-8"/>
        </w:rPr>
        <w:t xml:space="preserve"> </w:t>
      </w:r>
      <w:r w:rsidR="00A40982">
        <w:rPr>
          <w:spacing w:val="-8"/>
        </w:rPr>
        <w:t xml:space="preserve">20 </w:t>
      </w:r>
      <w:r w:rsidR="007B2B0D">
        <w:t>June 2024</w:t>
      </w:r>
      <w:r w:rsidR="008A4B80">
        <w:t xml:space="preserve"> and as a result the </w:t>
      </w:r>
      <w:r w:rsidR="00C62BAB">
        <w:t xml:space="preserve">strategic </w:t>
      </w:r>
      <w:r w:rsidR="008A4B80">
        <w:t xml:space="preserve">changes detailed earlier in this statement were implemented.  The next review is due in 2027. </w:t>
      </w:r>
    </w:p>
    <w:p w14:paraId="1995E100" w14:textId="77777777" w:rsidR="007B76A5" w:rsidRDefault="007B76A5" w:rsidP="00EE5AEF">
      <w:pPr>
        <w:pStyle w:val="BodyText"/>
        <w:tabs>
          <w:tab w:val="left" w:pos="9072"/>
        </w:tabs>
        <w:ind w:left="199" w:right="668"/>
      </w:pPr>
    </w:p>
    <w:p w14:paraId="52FB5BF0" w14:textId="25122728" w:rsidR="007B76A5" w:rsidRDefault="007B76A5" w:rsidP="00EE5AEF">
      <w:pPr>
        <w:pStyle w:val="BodyText"/>
        <w:tabs>
          <w:tab w:val="left" w:pos="9072"/>
        </w:tabs>
        <w:ind w:left="199" w:right="668"/>
        <w:jc w:val="both"/>
      </w:pPr>
      <w:r>
        <w:t xml:space="preserve">The </w:t>
      </w:r>
      <w:r w:rsidR="008A4B80">
        <w:t xml:space="preserve">Investment Committee </w:t>
      </w:r>
      <w:r>
        <w:t>reviews the performance of the default arrangement against the benchmark(s) set by L&amp;G</w:t>
      </w:r>
      <w:r>
        <w:rPr>
          <w:spacing w:val="35"/>
        </w:rPr>
        <w:t xml:space="preserve"> </w:t>
      </w:r>
      <w:r>
        <w:t>on</w:t>
      </w:r>
      <w:r>
        <w:rPr>
          <w:spacing w:val="34"/>
        </w:rPr>
        <w:t xml:space="preserve"> </w:t>
      </w:r>
      <w:r>
        <w:t>a</w:t>
      </w:r>
      <w:r>
        <w:rPr>
          <w:spacing w:val="29"/>
        </w:rPr>
        <w:t xml:space="preserve"> </w:t>
      </w:r>
      <w:r>
        <w:t>quarterly</w:t>
      </w:r>
      <w:r>
        <w:rPr>
          <w:spacing w:val="32"/>
        </w:rPr>
        <w:t xml:space="preserve"> </w:t>
      </w:r>
      <w:r>
        <w:t>basis.</w:t>
      </w:r>
      <w:r>
        <w:rPr>
          <w:spacing w:val="80"/>
          <w:w w:val="150"/>
        </w:rPr>
        <w:t xml:space="preserve"> </w:t>
      </w:r>
      <w:r>
        <w:t>This</w:t>
      </w:r>
      <w:r>
        <w:rPr>
          <w:spacing w:val="32"/>
        </w:rPr>
        <w:t xml:space="preserve"> </w:t>
      </w:r>
      <w:r>
        <w:t>review</w:t>
      </w:r>
      <w:r>
        <w:rPr>
          <w:spacing w:val="31"/>
        </w:rPr>
        <w:t xml:space="preserve"> </w:t>
      </w:r>
      <w:r>
        <w:t>includes</w:t>
      </w:r>
      <w:r>
        <w:rPr>
          <w:spacing w:val="35"/>
        </w:rPr>
        <w:t xml:space="preserve"> </w:t>
      </w:r>
      <w:r>
        <w:t>an</w:t>
      </w:r>
      <w:r>
        <w:rPr>
          <w:spacing w:val="34"/>
        </w:rPr>
        <w:t xml:space="preserve"> </w:t>
      </w:r>
      <w:r>
        <w:t>analysis</w:t>
      </w:r>
      <w:r>
        <w:rPr>
          <w:spacing w:val="35"/>
        </w:rPr>
        <w:t xml:space="preserve"> </w:t>
      </w:r>
      <w:r>
        <w:t>of</w:t>
      </w:r>
      <w:r w:rsidR="00E25FAF">
        <w:rPr>
          <w:spacing w:val="38"/>
        </w:rPr>
        <w:t xml:space="preserve"> </w:t>
      </w:r>
      <w:r w:rsidR="00E25FAF">
        <w:t xml:space="preserve">the value of the funds invested in the default strategy and the self-select funds </w:t>
      </w:r>
      <w:r>
        <w:t>and</w:t>
      </w:r>
      <w:r>
        <w:rPr>
          <w:spacing w:val="34"/>
        </w:rPr>
        <w:t xml:space="preserve"> </w:t>
      </w:r>
      <w:r>
        <w:t>of</w:t>
      </w:r>
      <w:r>
        <w:rPr>
          <w:spacing w:val="36"/>
        </w:rPr>
        <w:t xml:space="preserve"> </w:t>
      </w:r>
      <w:r>
        <w:t>fund</w:t>
      </w:r>
      <w:r w:rsidRPr="007B76A5">
        <w:t xml:space="preserve"> </w:t>
      </w:r>
      <w:r>
        <w:t>performance</w:t>
      </w:r>
      <w:r w:rsidR="00E35EFE">
        <w:t xml:space="preserve"> </w:t>
      </w:r>
      <w:r>
        <w:t>to</w:t>
      </w:r>
      <w:r>
        <w:rPr>
          <w:spacing w:val="-12"/>
        </w:rPr>
        <w:t xml:space="preserve"> </w:t>
      </w:r>
      <w:r>
        <w:t>check</w:t>
      </w:r>
      <w:r>
        <w:rPr>
          <w:spacing w:val="-10"/>
        </w:rPr>
        <w:t xml:space="preserve"> </w:t>
      </w:r>
      <w:r>
        <w:t>that</w:t>
      </w:r>
      <w:r>
        <w:rPr>
          <w:spacing w:val="-11"/>
        </w:rPr>
        <w:t xml:space="preserve"> </w:t>
      </w:r>
      <w:r>
        <w:t>the</w:t>
      </w:r>
      <w:r>
        <w:rPr>
          <w:spacing w:val="-14"/>
        </w:rPr>
        <w:t xml:space="preserve"> </w:t>
      </w:r>
      <w:r>
        <w:t>risk</w:t>
      </w:r>
      <w:r>
        <w:rPr>
          <w:spacing w:val="-10"/>
        </w:rPr>
        <w:t xml:space="preserve"> </w:t>
      </w:r>
      <w:r>
        <w:t>and</w:t>
      </w:r>
      <w:r>
        <w:rPr>
          <w:spacing w:val="-14"/>
        </w:rPr>
        <w:t xml:space="preserve"> </w:t>
      </w:r>
      <w:r>
        <w:t>return</w:t>
      </w:r>
      <w:r>
        <w:rPr>
          <w:spacing w:val="-12"/>
        </w:rPr>
        <w:t xml:space="preserve"> </w:t>
      </w:r>
      <w:r>
        <w:t>levels</w:t>
      </w:r>
      <w:r>
        <w:rPr>
          <w:spacing w:val="-12"/>
        </w:rPr>
        <w:t xml:space="preserve"> </w:t>
      </w:r>
      <w:r>
        <w:t>meet</w:t>
      </w:r>
      <w:r>
        <w:rPr>
          <w:spacing w:val="-11"/>
        </w:rPr>
        <w:t xml:space="preserve"> </w:t>
      </w:r>
      <w:r>
        <w:t>expectations.</w:t>
      </w:r>
      <w:r>
        <w:rPr>
          <w:spacing w:val="-11"/>
        </w:rPr>
        <w:t xml:space="preserve"> </w:t>
      </w:r>
      <w:r>
        <w:t>The</w:t>
      </w:r>
      <w:r>
        <w:rPr>
          <w:spacing w:val="-12"/>
        </w:rPr>
        <w:t xml:space="preserve"> </w:t>
      </w:r>
      <w:r w:rsidR="00122784">
        <w:rPr>
          <w:spacing w:val="-12"/>
        </w:rPr>
        <w:t xml:space="preserve">relevant </w:t>
      </w:r>
      <w:r>
        <w:t>performance</w:t>
      </w:r>
      <w:r>
        <w:rPr>
          <w:spacing w:val="-12"/>
        </w:rPr>
        <w:t xml:space="preserve"> </w:t>
      </w:r>
      <w:r>
        <w:t xml:space="preserve">reviews carried out by the </w:t>
      </w:r>
      <w:r w:rsidR="002E0F1C">
        <w:t>Investment Committee</w:t>
      </w:r>
      <w:r>
        <w:t xml:space="preserve"> over the Fund Year concluded that the default arrangement</w:t>
      </w:r>
      <w:r w:rsidR="002E0F1C">
        <w:t xml:space="preserve"> with L&amp;G</w:t>
      </w:r>
      <w:r>
        <w:t xml:space="preserve"> was performing broadly </w:t>
      </w:r>
      <w:r w:rsidR="00122784">
        <w:t xml:space="preserve">both </w:t>
      </w:r>
      <w:r>
        <w:t>as expected and remains consistent with the aims and objectives set out in the SIP.</w:t>
      </w:r>
    </w:p>
    <w:p w14:paraId="50D5FF15" w14:textId="1002F2D6" w:rsidR="007B76A5" w:rsidRPr="007B76A5" w:rsidRDefault="007B76A5" w:rsidP="00EE5AEF">
      <w:pPr>
        <w:pStyle w:val="BodyText"/>
        <w:ind w:left="199" w:right="526"/>
        <w:jc w:val="both"/>
      </w:pPr>
      <w:r>
        <w:t xml:space="preserve"> </w:t>
      </w:r>
    </w:p>
    <w:p w14:paraId="533F59D1" w14:textId="623FFB9F" w:rsidR="00AB3475" w:rsidRPr="00372A58" w:rsidRDefault="00A853B3" w:rsidP="00EE5AEF">
      <w:pPr>
        <w:pStyle w:val="Heading2"/>
        <w:numPr>
          <w:ilvl w:val="1"/>
          <w:numId w:val="13"/>
        </w:numPr>
        <w:tabs>
          <w:tab w:val="left" w:pos="568"/>
        </w:tabs>
        <w:spacing w:before="239"/>
        <w:ind w:right="526"/>
      </w:pPr>
      <w:r w:rsidRPr="00372A58">
        <w:rPr>
          <w:spacing w:val="-4"/>
        </w:rPr>
        <w:t>AVCS</w:t>
      </w:r>
    </w:p>
    <w:p w14:paraId="533F59D2" w14:textId="22F076A5" w:rsidR="00AB3475" w:rsidRDefault="00A853B3">
      <w:pPr>
        <w:pStyle w:val="BodyText"/>
        <w:spacing w:before="241"/>
        <w:ind w:left="199" w:right="553"/>
        <w:jc w:val="both"/>
      </w:pPr>
      <w:r w:rsidRPr="00A94AB3">
        <w:t>The AVC arrangements</w:t>
      </w:r>
      <w:r>
        <w:t xml:space="preserve"> do not have a default arrangement, as defined in the Occupational Pension</w:t>
      </w:r>
      <w:r>
        <w:rPr>
          <w:spacing w:val="-2"/>
        </w:rPr>
        <w:t xml:space="preserve"> </w:t>
      </w:r>
      <w:r>
        <w:t>Scheme</w:t>
      </w:r>
      <w:r>
        <w:rPr>
          <w:spacing w:val="-6"/>
        </w:rPr>
        <w:t xml:space="preserve"> </w:t>
      </w:r>
      <w:r>
        <w:t>(Investment)</w:t>
      </w:r>
      <w:r>
        <w:rPr>
          <w:spacing w:val="-3"/>
        </w:rPr>
        <w:t xml:space="preserve"> </w:t>
      </w:r>
      <w:r>
        <w:t>Regulations</w:t>
      </w:r>
      <w:r>
        <w:rPr>
          <w:spacing w:val="-4"/>
        </w:rPr>
        <w:t xml:space="preserve"> </w:t>
      </w:r>
      <w:r>
        <w:t>2005</w:t>
      </w:r>
      <w:r>
        <w:rPr>
          <w:spacing w:val="-7"/>
        </w:rPr>
        <w:t xml:space="preserve"> </w:t>
      </w:r>
      <w:r>
        <w:t>since</w:t>
      </w:r>
      <w:r>
        <w:rPr>
          <w:spacing w:val="-4"/>
        </w:rPr>
        <w:t xml:space="preserve"> </w:t>
      </w:r>
      <w:r>
        <w:t>they</w:t>
      </w:r>
      <w:r>
        <w:rPr>
          <w:spacing w:val="-4"/>
        </w:rPr>
        <w:t xml:space="preserve"> </w:t>
      </w:r>
      <w:r>
        <w:t>relate</w:t>
      </w:r>
      <w:r>
        <w:rPr>
          <w:spacing w:val="-4"/>
        </w:rPr>
        <w:t xml:space="preserve"> </w:t>
      </w:r>
      <w:r>
        <w:t>only</w:t>
      </w:r>
      <w:r>
        <w:rPr>
          <w:spacing w:val="-6"/>
        </w:rPr>
        <w:t xml:space="preserve"> </w:t>
      </w:r>
      <w:r>
        <w:t>to</w:t>
      </w:r>
      <w:r>
        <w:rPr>
          <w:spacing w:val="-6"/>
        </w:rPr>
        <w:t xml:space="preserve"> </w:t>
      </w:r>
      <w:r>
        <w:t>AVCs.</w:t>
      </w:r>
      <w:r>
        <w:rPr>
          <w:spacing w:val="40"/>
        </w:rPr>
        <w:t xml:space="preserve"> </w:t>
      </w:r>
      <w:r>
        <w:t>Members</w:t>
      </w:r>
      <w:r>
        <w:rPr>
          <w:spacing w:val="-3"/>
        </w:rPr>
        <w:t xml:space="preserve"> </w:t>
      </w:r>
      <w:r>
        <w:t>have to choose which funds their AVCs are invested in</w:t>
      </w:r>
      <w:r w:rsidR="00B5011D">
        <w:t>.</w:t>
      </w:r>
    </w:p>
    <w:p w14:paraId="533F59D7" w14:textId="77777777" w:rsidR="00AB3475" w:rsidRDefault="00AB3475">
      <w:pPr>
        <w:pStyle w:val="BodyText"/>
      </w:pPr>
    </w:p>
    <w:p w14:paraId="533F59D8" w14:textId="77777777" w:rsidR="00AB3475" w:rsidRDefault="00A853B3" w:rsidP="00372A58">
      <w:pPr>
        <w:pStyle w:val="Heading2"/>
        <w:numPr>
          <w:ilvl w:val="0"/>
          <w:numId w:val="18"/>
        </w:numPr>
        <w:tabs>
          <w:tab w:val="left" w:pos="919"/>
        </w:tabs>
        <w:spacing w:before="1"/>
      </w:pPr>
      <w:r>
        <w:t>Net</w:t>
      </w:r>
      <w:r>
        <w:rPr>
          <w:spacing w:val="-5"/>
        </w:rPr>
        <w:t xml:space="preserve"> </w:t>
      </w:r>
      <w:r>
        <w:t>Investment</w:t>
      </w:r>
      <w:r>
        <w:rPr>
          <w:spacing w:val="-5"/>
        </w:rPr>
        <w:t xml:space="preserve"> </w:t>
      </w:r>
      <w:r>
        <w:rPr>
          <w:spacing w:val="-2"/>
        </w:rPr>
        <w:t>Returns</w:t>
      </w:r>
    </w:p>
    <w:p w14:paraId="533F59D9" w14:textId="38223DA3" w:rsidR="00AB3475" w:rsidRDefault="00A853B3">
      <w:pPr>
        <w:pStyle w:val="BodyText"/>
        <w:spacing w:before="241"/>
        <w:ind w:left="199" w:right="553"/>
        <w:jc w:val="both"/>
      </w:pPr>
      <w:r>
        <w:t>The</w:t>
      </w:r>
      <w:r>
        <w:rPr>
          <w:spacing w:val="-9"/>
        </w:rPr>
        <w:t xml:space="preserve"> </w:t>
      </w:r>
      <w:r>
        <w:t>Trustee</w:t>
      </w:r>
      <w:r>
        <w:rPr>
          <w:spacing w:val="-6"/>
        </w:rPr>
        <w:t xml:space="preserve"> </w:t>
      </w:r>
      <w:r>
        <w:t>is</w:t>
      </w:r>
      <w:r>
        <w:rPr>
          <w:spacing w:val="-6"/>
        </w:rPr>
        <w:t xml:space="preserve"> </w:t>
      </w:r>
      <w:r>
        <w:t>required</w:t>
      </w:r>
      <w:r>
        <w:rPr>
          <w:spacing w:val="-7"/>
        </w:rPr>
        <w:t xml:space="preserve"> </w:t>
      </w:r>
      <w:r>
        <w:t>to</w:t>
      </w:r>
      <w:r>
        <w:rPr>
          <w:spacing w:val="-4"/>
        </w:rPr>
        <w:t xml:space="preserve"> </w:t>
      </w:r>
      <w:r>
        <w:t>report</w:t>
      </w:r>
      <w:r>
        <w:rPr>
          <w:spacing w:val="-3"/>
        </w:rPr>
        <w:t xml:space="preserve"> </w:t>
      </w:r>
      <w:r>
        <w:t>the</w:t>
      </w:r>
      <w:r>
        <w:rPr>
          <w:spacing w:val="-7"/>
        </w:rPr>
        <w:t xml:space="preserve"> </w:t>
      </w:r>
      <w:r>
        <w:t>net</w:t>
      </w:r>
      <w:r>
        <w:rPr>
          <w:spacing w:val="-5"/>
        </w:rPr>
        <w:t xml:space="preserve"> </w:t>
      </w:r>
      <w:r>
        <w:t>investment</w:t>
      </w:r>
      <w:r>
        <w:rPr>
          <w:spacing w:val="-5"/>
        </w:rPr>
        <w:t xml:space="preserve"> </w:t>
      </w:r>
      <w:r>
        <w:t>returns</w:t>
      </w:r>
      <w:r>
        <w:rPr>
          <w:spacing w:val="-8"/>
        </w:rPr>
        <w:t xml:space="preserve"> </w:t>
      </w:r>
      <w:r>
        <w:t>for</w:t>
      </w:r>
      <w:r>
        <w:rPr>
          <w:spacing w:val="-6"/>
        </w:rPr>
        <w:t xml:space="preserve"> </w:t>
      </w:r>
      <w:r>
        <w:t>each</w:t>
      </w:r>
      <w:r>
        <w:rPr>
          <w:spacing w:val="-6"/>
        </w:rPr>
        <w:t xml:space="preserve"> </w:t>
      </w:r>
      <w:r>
        <w:t>default</w:t>
      </w:r>
      <w:r>
        <w:rPr>
          <w:spacing w:val="-5"/>
        </w:rPr>
        <w:t xml:space="preserve"> </w:t>
      </w:r>
      <w:r>
        <w:t>arrangement</w:t>
      </w:r>
      <w:r>
        <w:rPr>
          <w:spacing w:val="-5"/>
        </w:rPr>
        <w:t xml:space="preserve"> </w:t>
      </w:r>
      <w:r>
        <w:t>and</w:t>
      </w:r>
      <w:r>
        <w:rPr>
          <w:spacing w:val="-9"/>
        </w:rPr>
        <w:t xml:space="preserve"> </w:t>
      </w:r>
      <w:r>
        <w:t>for each</w:t>
      </w:r>
      <w:r>
        <w:rPr>
          <w:spacing w:val="-3"/>
        </w:rPr>
        <w:t xml:space="preserve"> </w:t>
      </w:r>
      <w:r>
        <w:t>non-default</w:t>
      </w:r>
      <w:r>
        <w:rPr>
          <w:spacing w:val="-6"/>
        </w:rPr>
        <w:t xml:space="preserve"> </w:t>
      </w:r>
      <w:r>
        <w:t>fund</w:t>
      </w:r>
      <w:r>
        <w:rPr>
          <w:spacing w:val="-5"/>
        </w:rPr>
        <w:t xml:space="preserve"> </w:t>
      </w:r>
      <w:r>
        <w:t>which</w:t>
      </w:r>
      <w:r>
        <w:rPr>
          <w:spacing w:val="-3"/>
        </w:rPr>
        <w:t xml:space="preserve"> </w:t>
      </w:r>
      <w:r>
        <w:t>members</w:t>
      </w:r>
      <w:r>
        <w:rPr>
          <w:spacing w:val="-3"/>
        </w:rPr>
        <w:t xml:space="preserve"> </w:t>
      </w:r>
      <w:r>
        <w:t>of</w:t>
      </w:r>
      <w:r>
        <w:rPr>
          <w:spacing w:val="-4"/>
        </w:rPr>
        <w:t xml:space="preserve"> </w:t>
      </w:r>
      <w:r w:rsidR="003B29DD">
        <w:t>the Fund</w:t>
      </w:r>
      <w:r>
        <w:rPr>
          <w:spacing w:val="-4"/>
        </w:rPr>
        <w:t xml:space="preserve"> </w:t>
      </w:r>
      <w:r w:rsidR="00FB1467">
        <w:t>are</w:t>
      </w:r>
      <w:r>
        <w:rPr>
          <w:spacing w:val="-2"/>
        </w:rPr>
        <w:t xml:space="preserve"> </w:t>
      </w:r>
      <w:r>
        <w:t>invested</w:t>
      </w:r>
      <w:r>
        <w:rPr>
          <w:spacing w:val="-3"/>
        </w:rPr>
        <w:t xml:space="preserve"> </w:t>
      </w:r>
      <w:r>
        <w:t>in. Net investment return refers to the return on a fund minus all member-borne transaction costs and charges.</w:t>
      </w:r>
    </w:p>
    <w:p w14:paraId="533F59DA" w14:textId="77777777" w:rsidR="00AB3475" w:rsidRDefault="00AB3475">
      <w:pPr>
        <w:pStyle w:val="BodyText"/>
      </w:pPr>
    </w:p>
    <w:p w14:paraId="533F59DB" w14:textId="1A0D0BF1" w:rsidR="00AB3475" w:rsidRDefault="00A853B3">
      <w:pPr>
        <w:pStyle w:val="BodyText"/>
        <w:ind w:left="199" w:right="552"/>
        <w:jc w:val="both"/>
      </w:pPr>
      <w:r>
        <w:t>The net investment returns reported here have been prepared having regard to statutory guidance.</w:t>
      </w:r>
      <w:r>
        <w:rPr>
          <w:spacing w:val="-2"/>
        </w:rPr>
        <w:t xml:space="preserve"> </w:t>
      </w:r>
      <w:r>
        <w:t>The</w:t>
      </w:r>
      <w:r>
        <w:rPr>
          <w:spacing w:val="-3"/>
        </w:rPr>
        <w:t xml:space="preserve"> </w:t>
      </w:r>
      <w:r>
        <w:t>guidance</w:t>
      </w:r>
      <w:r>
        <w:rPr>
          <w:spacing w:val="-2"/>
        </w:rPr>
        <w:t xml:space="preserve"> </w:t>
      </w:r>
      <w:r>
        <w:t>states</w:t>
      </w:r>
      <w:r>
        <w:rPr>
          <w:spacing w:val="-1"/>
        </w:rPr>
        <w:t xml:space="preserve"> </w:t>
      </w:r>
      <w:r>
        <w:t>that, for</w:t>
      </w:r>
      <w:r>
        <w:rPr>
          <w:spacing w:val="-1"/>
        </w:rPr>
        <w:t xml:space="preserve"> </w:t>
      </w:r>
      <w:r>
        <w:t>arrangements where</w:t>
      </w:r>
      <w:r>
        <w:rPr>
          <w:spacing w:val="-2"/>
        </w:rPr>
        <w:t xml:space="preserve"> </w:t>
      </w:r>
      <w:r>
        <w:t>the net returns vary</w:t>
      </w:r>
      <w:r>
        <w:rPr>
          <w:spacing w:val="-1"/>
        </w:rPr>
        <w:t xml:space="preserve"> </w:t>
      </w:r>
      <w:r>
        <w:t>with age, such as the L&amp;G PMC Target Date Funds 3, net investment returns should be shown for a member aged 25, 45 and 55 at the start of the investment reporting period.</w:t>
      </w:r>
      <w:r>
        <w:rPr>
          <w:spacing w:val="40"/>
        </w:rPr>
        <w:t xml:space="preserve"> </w:t>
      </w:r>
      <w:r w:rsidRPr="00FB1467">
        <w:rPr>
          <w:highlight w:val="lightGray"/>
        </w:rPr>
        <w:t>For completeness, we have reported</w:t>
      </w:r>
      <w:r w:rsidRPr="00FB1467">
        <w:rPr>
          <w:spacing w:val="-12"/>
          <w:highlight w:val="lightGray"/>
        </w:rPr>
        <w:t xml:space="preserve"> </w:t>
      </w:r>
      <w:r w:rsidRPr="00FB1467">
        <w:rPr>
          <w:highlight w:val="lightGray"/>
        </w:rPr>
        <w:t>the</w:t>
      </w:r>
      <w:r w:rsidRPr="00FB1467">
        <w:rPr>
          <w:spacing w:val="-11"/>
          <w:highlight w:val="lightGray"/>
        </w:rPr>
        <w:t xml:space="preserve"> </w:t>
      </w:r>
      <w:r w:rsidRPr="00FB1467">
        <w:rPr>
          <w:highlight w:val="lightGray"/>
        </w:rPr>
        <w:t>net</w:t>
      </w:r>
      <w:r w:rsidRPr="00FB1467">
        <w:rPr>
          <w:spacing w:val="-10"/>
          <w:highlight w:val="lightGray"/>
        </w:rPr>
        <w:t xml:space="preserve"> </w:t>
      </w:r>
      <w:r w:rsidRPr="00FB1467">
        <w:rPr>
          <w:highlight w:val="lightGray"/>
        </w:rPr>
        <w:t>investment</w:t>
      </w:r>
      <w:r w:rsidRPr="00FB1467">
        <w:rPr>
          <w:spacing w:val="-10"/>
          <w:highlight w:val="lightGray"/>
        </w:rPr>
        <w:t xml:space="preserve"> </w:t>
      </w:r>
      <w:r w:rsidRPr="00FB1467">
        <w:rPr>
          <w:highlight w:val="lightGray"/>
        </w:rPr>
        <w:t>returns</w:t>
      </w:r>
      <w:r w:rsidRPr="00FB1467">
        <w:rPr>
          <w:spacing w:val="-12"/>
          <w:highlight w:val="lightGray"/>
        </w:rPr>
        <w:t xml:space="preserve"> </w:t>
      </w:r>
      <w:r w:rsidRPr="00FB1467">
        <w:rPr>
          <w:highlight w:val="lightGray"/>
        </w:rPr>
        <w:t>for</w:t>
      </w:r>
      <w:r w:rsidRPr="00FB1467">
        <w:rPr>
          <w:spacing w:val="-10"/>
          <w:highlight w:val="lightGray"/>
        </w:rPr>
        <w:t xml:space="preserve"> </w:t>
      </w:r>
      <w:r w:rsidRPr="00FB1467">
        <w:rPr>
          <w:highlight w:val="lightGray"/>
        </w:rPr>
        <w:t>all</w:t>
      </w:r>
      <w:r w:rsidRPr="00FB1467">
        <w:rPr>
          <w:spacing w:val="-9"/>
          <w:highlight w:val="lightGray"/>
        </w:rPr>
        <w:t xml:space="preserve"> </w:t>
      </w:r>
      <w:r w:rsidRPr="00FB1467">
        <w:rPr>
          <w:highlight w:val="lightGray"/>
        </w:rPr>
        <w:t>L&amp;G</w:t>
      </w:r>
      <w:r w:rsidRPr="00FB1467">
        <w:rPr>
          <w:spacing w:val="-10"/>
          <w:highlight w:val="lightGray"/>
        </w:rPr>
        <w:t xml:space="preserve"> </w:t>
      </w:r>
      <w:r w:rsidRPr="00FB1467">
        <w:rPr>
          <w:highlight w:val="lightGray"/>
        </w:rPr>
        <w:t>PMC</w:t>
      </w:r>
      <w:r w:rsidRPr="00FB1467">
        <w:rPr>
          <w:spacing w:val="-9"/>
          <w:highlight w:val="lightGray"/>
        </w:rPr>
        <w:t xml:space="preserve"> </w:t>
      </w:r>
      <w:r w:rsidRPr="00FB1467">
        <w:rPr>
          <w:highlight w:val="lightGray"/>
        </w:rPr>
        <w:t>Target</w:t>
      </w:r>
      <w:r w:rsidRPr="00FB1467">
        <w:rPr>
          <w:spacing w:val="-10"/>
          <w:highlight w:val="lightGray"/>
        </w:rPr>
        <w:t xml:space="preserve"> </w:t>
      </w:r>
      <w:r w:rsidRPr="00FB1467">
        <w:rPr>
          <w:highlight w:val="lightGray"/>
        </w:rPr>
        <w:t>Date</w:t>
      </w:r>
      <w:r w:rsidRPr="00FB1467">
        <w:rPr>
          <w:spacing w:val="-10"/>
          <w:highlight w:val="lightGray"/>
        </w:rPr>
        <w:t xml:space="preserve"> </w:t>
      </w:r>
      <w:r w:rsidRPr="00FB1467">
        <w:rPr>
          <w:highlight w:val="lightGray"/>
        </w:rPr>
        <w:t>Funds</w:t>
      </w:r>
      <w:r w:rsidRPr="00FB1467">
        <w:rPr>
          <w:spacing w:val="-11"/>
          <w:highlight w:val="lightGray"/>
        </w:rPr>
        <w:t xml:space="preserve"> </w:t>
      </w:r>
      <w:r w:rsidRPr="00FB1467">
        <w:rPr>
          <w:highlight w:val="lightGray"/>
        </w:rPr>
        <w:t>3</w:t>
      </w:r>
      <w:r w:rsidRPr="00FB1467">
        <w:rPr>
          <w:spacing w:val="-13"/>
          <w:highlight w:val="lightGray"/>
        </w:rPr>
        <w:t xml:space="preserve"> </w:t>
      </w:r>
      <w:r w:rsidRPr="00FB1467">
        <w:rPr>
          <w:highlight w:val="lightGray"/>
        </w:rPr>
        <w:t>‘vintages’</w:t>
      </w:r>
      <w:r w:rsidRPr="00FB1467">
        <w:rPr>
          <w:spacing w:val="-12"/>
          <w:highlight w:val="lightGray"/>
        </w:rPr>
        <w:t xml:space="preserve"> </w:t>
      </w:r>
      <w:r w:rsidRPr="00FB1467">
        <w:rPr>
          <w:highlight w:val="lightGray"/>
        </w:rPr>
        <w:t>held</w:t>
      </w:r>
      <w:r w:rsidRPr="00FB1467">
        <w:rPr>
          <w:spacing w:val="-9"/>
          <w:highlight w:val="lightGray"/>
        </w:rPr>
        <w:t xml:space="preserve"> </w:t>
      </w:r>
      <w:r w:rsidRPr="00FB1467">
        <w:rPr>
          <w:highlight w:val="lightGray"/>
        </w:rPr>
        <w:t>over</w:t>
      </w:r>
      <w:r w:rsidRPr="00FB1467">
        <w:rPr>
          <w:spacing w:val="-10"/>
          <w:highlight w:val="lightGray"/>
        </w:rPr>
        <w:t xml:space="preserve"> </w:t>
      </w:r>
      <w:r w:rsidR="003B29DD" w:rsidRPr="00FB1467">
        <w:rPr>
          <w:highlight w:val="lightGray"/>
        </w:rPr>
        <w:t>the Fund</w:t>
      </w:r>
      <w:r w:rsidRPr="00FB1467">
        <w:rPr>
          <w:highlight w:val="lightGray"/>
        </w:rPr>
        <w:t xml:space="preserve"> Year.</w:t>
      </w:r>
    </w:p>
    <w:p w14:paraId="533F59DC" w14:textId="77777777" w:rsidR="00AB3475" w:rsidRDefault="00AB3475">
      <w:pPr>
        <w:pStyle w:val="BodyText"/>
        <w:spacing w:before="1"/>
      </w:pPr>
    </w:p>
    <w:p w14:paraId="533F59DD" w14:textId="77777777" w:rsidR="00AB3475" w:rsidRDefault="00A853B3">
      <w:pPr>
        <w:pStyle w:val="BodyText"/>
        <w:ind w:left="199" w:right="555"/>
        <w:jc w:val="both"/>
      </w:pPr>
      <w:r>
        <w:t>Performance has been shown over 1 and 5 year periods where available</w:t>
      </w:r>
      <w:r w:rsidRPr="006837A8">
        <w:t>.</w:t>
      </w:r>
      <w:r w:rsidRPr="006837A8">
        <w:rPr>
          <w:spacing w:val="40"/>
        </w:rPr>
        <w:t xml:space="preserve"> </w:t>
      </w:r>
      <w:r w:rsidRPr="00FC6FF5">
        <w:t>Some funds were launched less than 5 years ago, therefore 5-year returns are not available.</w:t>
      </w:r>
    </w:p>
    <w:p w14:paraId="533F59DE" w14:textId="77777777" w:rsidR="00AB3475" w:rsidRDefault="00A853B3">
      <w:pPr>
        <w:pStyle w:val="BodyText"/>
        <w:spacing w:before="252"/>
        <w:ind w:left="199"/>
        <w:jc w:val="both"/>
      </w:pPr>
      <w:r>
        <w:t>It</w:t>
      </w:r>
      <w:r>
        <w:rPr>
          <w:spacing w:val="-7"/>
        </w:rPr>
        <w:t xml:space="preserve"> </w:t>
      </w:r>
      <w:r>
        <w:t>is</w:t>
      </w:r>
      <w:r>
        <w:rPr>
          <w:spacing w:val="-3"/>
        </w:rPr>
        <w:t xml:space="preserve"> </w:t>
      </w:r>
      <w:r>
        <w:t>important</w:t>
      </w:r>
      <w:r>
        <w:rPr>
          <w:spacing w:val="-5"/>
        </w:rPr>
        <w:t xml:space="preserve"> </w:t>
      </w:r>
      <w:r>
        <w:t>to</w:t>
      </w:r>
      <w:r>
        <w:rPr>
          <w:spacing w:val="-4"/>
        </w:rPr>
        <w:t xml:space="preserve"> </w:t>
      </w:r>
      <w:r>
        <w:t>note</w:t>
      </w:r>
      <w:r>
        <w:rPr>
          <w:spacing w:val="-6"/>
        </w:rPr>
        <w:t xml:space="preserve"> </w:t>
      </w:r>
      <w:r>
        <w:t>that</w:t>
      </w:r>
      <w:r>
        <w:rPr>
          <w:spacing w:val="-2"/>
        </w:rPr>
        <w:t xml:space="preserve"> </w:t>
      </w:r>
      <w:r>
        <w:t>past</w:t>
      </w:r>
      <w:r>
        <w:rPr>
          <w:spacing w:val="-2"/>
        </w:rPr>
        <w:t xml:space="preserve"> </w:t>
      </w:r>
      <w:r>
        <w:t>performance</w:t>
      </w:r>
      <w:r>
        <w:rPr>
          <w:spacing w:val="-4"/>
        </w:rPr>
        <w:t xml:space="preserve"> </w:t>
      </w:r>
      <w:r>
        <w:t>is</w:t>
      </w:r>
      <w:r>
        <w:rPr>
          <w:spacing w:val="-6"/>
        </w:rPr>
        <w:t xml:space="preserve"> </w:t>
      </w:r>
      <w:r>
        <w:t>not</w:t>
      </w:r>
      <w:r>
        <w:rPr>
          <w:spacing w:val="-4"/>
        </w:rPr>
        <w:t xml:space="preserve"> </w:t>
      </w:r>
      <w:r>
        <w:t>a</w:t>
      </w:r>
      <w:r>
        <w:rPr>
          <w:spacing w:val="-6"/>
        </w:rPr>
        <w:t xml:space="preserve"> </w:t>
      </w:r>
      <w:r>
        <w:t>guarantee</w:t>
      </w:r>
      <w:r>
        <w:rPr>
          <w:spacing w:val="-6"/>
        </w:rPr>
        <w:t xml:space="preserve"> </w:t>
      </w:r>
      <w:r>
        <w:t>of</w:t>
      </w:r>
      <w:r>
        <w:rPr>
          <w:spacing w:val="-5"/>
        </w:rPr>
        <w:t xml:space="preserve"> </w:t>
      </w:r>
      <w:r>
        <w:t>future</w:t>
      </w:r>
      <w:r>
        <w:rPr>
          <w:spacing w:val="-5"/>
        </w:rPr>
        <w:t xml:space="preserve"> </w:t>
      </w:r>
      <w:r>
        <w:rPr>
          <w:spacing w:val="-2"/>
        </w:rPr>
        <w:t>performance.</w:t>
      </w:r>
    </w:p>
    <w:p w14:paraId="533F59E1" w14:textId="77777777" w:rsidR="00AB3475" w:rsidRDefault="00AB3475">
      <w:pPr>
        <w:pStyle w:val="BodyText"/>
        <w:spacing w:before="174"/>
      </w:pPr>
    </w:p>
    <w:p w14:paraId="533F59E2" w14:textId="49DA7CCA" w:rsidR="00AB3475" w:rsidRDefault="00E27B3F" w:rsidP="00EA7A7B">
      <w:pPr>
        <w:pStyle w:val="Heading2"/>
        <w:numPr>
          <w:ilvl w:val="1"/>
          <w:numId w:val="18"/>
        </w:numPr>
        <w:tabs>
          <w:tab w:val="left" w:pos="626"/>
        </w:tabs>
      </w:pPr>
      <w:r>
        <w:t>Defined Contribution</w:t>
      </w:r>
      <w:r>
        <w:rPr>
          <w:spacing w:val="-5"/>
        </w:rPr>
        <w:t xml:space="preserve"> </w:t>
      </w:r>
      <w:r>
        <w:t>section</w:t>
      </w:r>
      <w:r>
        <w:rPr>
          <w:spacing w:val="-7"/>
        </w:rPr>
        <w:t xml:space="preserve"> </w:t>
      </w:r>
      <w:r>
        <w:t>-</w:t>
      </w:r>
      <w:r>
        <w:rPr>
          <w:spacing w:val="-3"/>
        </w:rPr>
        <w:t xml:space="preserve"> </w:t>
      </w:r>
      <w:r>
        <w:t>default</w:t>
      </w:r>
      <w:r>
        <w:rPr>
          <w:spacing w:val="-5"/>
        </w:rPr>
        <w:t xml:space="preserve"> </w:t>
      </w:r>
      <w:r>
        <w:t>arrangement</w:t>
      </w:r>
      <w:r>
        <w:rPr>
          <w:spacing w:val="-5"/>
        </w:rPr>
        <w:t xml:space="preserve"> </w:t>
      </w:r>
      <w:r>
        <w:t>–</w:t>
      </w:r>
      <w:r>
        <w:rPr>
          <w:spacing w:val="-5"/>
        </w:rPr>
        <w:t xml:space="preserve"> </w:t>
      </w:r>
      <w:r>
        <w:t>L&amp;G</w:t>
      </w:r>
      <w:r>
        <w:rPr>
          <w:spacing w:val="-4"/>
        </w:rPr>
        <w:t xml:space="preserve"> </w:t>
      </w:r>
      <w:r>
        <w:t>PMC</w:t>
      </w:r>
      <w:r>
        <w:rPr>
          <w:spacing w:val="-5"/>
        </w:rPr>
        <w:t xml:space="preserve"> </w:t>
      </w:r>
      <w:r>
        <w:t>Target</w:t>
      </w:r>
      <w:r>
        <w:rPr>
          <w:spacing w:val="-4"/>
        </w:rPr>
        <w:t xml:space="preserve"> </w:t>
      </w:r>
      <w:r>
        <w:t>Date</w:t>
      </w:r>
      <w:r>
        <w:rPr>
          <w:spacing w:val="-7"/>
        </w:rPr>
        <w:t xml:space="preserve"> </w:t>
      </w:r>
      <w:r>
        <w:t>Funds</w:t>
      </w:r>
      <w:r>
        <w:rPr>
          <w:spacing w:val="-5"/>
        </w:rPr>
        <w:t xml:space="preserve"> </w:t>
      </w:r>
      <w:r>
        <w:rPr>
          <w:spacing w:val="-10"/>
        </w:rPr>
        <w:t>3</w:t>
      </w:r>
    </w:p>
    <w:p w14:paraId="533F59E3" w14:textId="77777777" w:rsidR="00AB3475" w:rsidRDefault="00AB3475">
      <w:pPr>
        <w:pStyle w:val="BodyText"/>
        <w:spacing w:before="4"/>
        <w:rPr>
          <w:b/>
          <w:sz w:val="1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2"/>
        <w:gridCol w:w="1701"/>
        <w:gridCol w:w="1757"/>
      </w:tblGrid>
      <w:tr w:rsidR="00AB3475" w14:paraId="533F59E6" w14:textId="77777777" w:rsidTr="00CF6AE8">
        <w:trPr>
          <w:trHeight w:val="539"/>
        </w:trPr>
        <w:tc>
          <w:tcPr>
            <w:tcW w:w="5252" w:type="dxa"/>
            <w:vMerge w:val="restart"/>
            <w:shd w:val="clear" w:color="auto" w:fill="CE8D95"/>
          </w:tcPr>
          <w:p w14:paraId="6E2433F6" w14:textId="77777777" w:rsidR="00BB3DF5" w:rsidRDefault="00BB3DF5">
            <w:pPr>
              <w:pStyle w:val="TableParagraph"/>
              <w:spacing w:before="38" w:line="242" w:lineRule="auto"/>
              <w:ind w:left="4"/>
              <w:rPr>
                <w:b/>
                <w:sz w:val="20"/>
              </w:rPr>
            </w:pPr>
            <w:r>
              <w:rPr>
                <w:b/>
                <w:sz w:val="20"/>
              </w:rPr>
              <w:t>Table 2</w:t>
            </w:r>
          </w:p>
          <w:p w14:paraId="533F59E4" w14:textId="3928D29A" w:rsidR="00AB3475" w:rsidRDefault="00A853B3">
            <w:pPr>
              <w:pStyle w:val="TableParagraph"/>
              <w:spacing w:before="38" w:line="242" w:lineRule="auto"/>
              <w:ind w:left="4"/>
              <w:rPr>
                <w:b/>
                <w:sz w:val="20"/>
              </w:rPr>
            </w:pPr>
            <w:r>
              <w:rPr>
                <w:b/>
                <w:sz w:val="20"/>
              </w:rPr>
              <w:t>Age</w:t>
            </w:r>
            <w:r>
              <w:rPr>
                <w:b/>
                <w:spacing w:val="-4"/>
                <w:sz w:val="20"/>
              </w:rPr>
              <w:t xml:space="preserve"> </w:t>
            </w:r>
            <w:r>
              <w:rPr>
                <w:b/>
                <w:sz w:val="20"/>
              </w:rPr>
              <w:t>of</w:t>
            </w:r>
            <w:r>
              <w:rPr>
                <w:b/>
                <w:spacing w:val="-4"/>
                <w:sz w:val="20"/>
              </w:rPr>
              <w:t xml:space="preserve"> </w:t>
            </w:r>
            <w:r>
              <w:rPr>
                <w:b/>
                <w:sz w:val="20"/>
              </w:rPr>
              <w:t>member</w:t>
            </w:r>
            <w:r>
              <w:rPr>
                <w:b/>
                <w:spacing w:val="-6"/>
                <w:sz w:val="20"/>
              </w:rPr>
              <w:t xml:space="preserve"> </w:t>
            </w:r>
            <w:r>
              <w:rPr>
                <w:b/>
                <w:sz w:val="20"/>
              </w:rPr>
              <w:t>at</w:t>
            </w:r>
            <w:r>
              <w:rPr>
                <w:b/>
                <w:spacing w:val="-6"/>
                <w:sz w:val="20"/>
              </w:rPr>
              <w:t xml:space="preserve"> </w:t>
            </w:r>
            <w:r>
              <w:rPr>
                <w:b/>
                <w:sz w:val="20"/>
              </w:rPr>
              <w:t>the</w:t>
            </w:r>
            <w:r>
              <w:rPr>
                <w:b/>
                <w:spacing w:val="-4"/>
                <w:sz w:val="20"/>
              </w:rPr>
              <w:t xml:space="preserve"> </w:t>
            </w:r>
            <w:r>
              <w:rPr>
                <w:b/>
                <w:sz w:val="20"/>
              </w:rPr>
              <w:t>start</w:t>
            </w:r>
            <w:r>
              <w:rPr>
                <w:b/>
                <w:spacing w:val="-5"/>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investment</w:t>
            </w:r>
            <w:r>
              <w:rPr>
                <w:b/>
                <w:spacing w:val="-5"/>
                <w:sz w:val="20"/>
              </w:rPr>
              <w:t xml:space="preserve"> </w:t>
            </w:r>
            <w:r>
              <w:rPr>
                <w:b/>
                <w:sz w:val="20"/>
              </w:rPr>
              <w:t xml:space="preserve">reporting </w:t>
            </w:r>
            <w:r>
              <w:rPr>
                <w:b/>
                <w:spacing w:val="-2"/>
                <w:sz w:val="20"/>
              </w:rPr>
              <w:t>period</w:t>
            </w:r>
          </w:p>
        </w:tc>
        <w:tc>
          <w:tcPr>
            <w:tcW w:w="3458" w:type="dxa"/>
            <w:gridSpan w:val="2"/>
            <w:shd w:val="clear" w:color="auto" w:fill="CE8D95"/>
          </w:tcPr>
          <w:p w14:paraId="533F59E5" w14:textId="006E230E" w:rsidR="00AB3475" w:rsidRDefault="00A853B3" w:rsidP="00E10FB3">
            <w:pPr>
              <w:pStyle w:val="TableParagraph"/>
              <w:spacing w:before="38" w:line="242" w:lineRule="auto"/>
              <w:ind w:left="81" w:right="100" w:firstLine="33"/>
              <w:jc w:val="center"/>
              <w:rPr>
                <w:b/>
                <w:sz w:val="20"/>
              </w:rPr>
            </w:pPr>
            <w:r>
              <w:rPr>
                <w:b/>
                <w:sz w:val="20"/>
              </w:rPr>
              <w:t>Net</w:t>
            </w:r>
            <w:r>
              <w:rPr>
                <w:b/>
                <w:spacing w:val="-9"/>
                <w:sz w:val="20"/>
              </w:rPr>
              <w:t xml:space="preserve"> </w:t>
            </w:r>
            <w:r>
              <w:rPr>
                <w:b/>
                <w:sz w:val="20"/>
              </w:rPr>
              <w:t>investment</w:t>
            </w:r>
            <w:r>
              <w:rPr>
                <w:b/>
                <w:spacing w:val="-9"/>
                <w:sz w:val="20"/>
              </w:rPr>
              <w:t xml:space="preserve"> </w:t>
            </w:r>
            <w:r>
              <w:rPr>
                <w:b/>
                <w:sz w:val="20"/>
              </w:rPr>
              <w:t>return</w:t>
            </w:r>
            <w:r>
              <w:rPr>
                <w:b/>
                <w:spacing w:val="-7"/>
                <w:sz w:val="20"/>
              </w:rPr>
              <w:t xml:space="preserve"> </w:t>
            </w:r>
            <w:r>
              <w:rPr>
                <w:b/>
                <w:sz w:val="20"/>
              </w:rPr>
              <w:t>to</w:t>
            </w:r>
            <w:r>
              <w:rPr>
                <w:b/>
                <w:spacing w:val="-9"/>
                <w:sz w:val="20"/>
              </w:rPr>
              <w:t xml:space="preserve"> </w:t>
            </w:r>
            <w:r>
              <w:rPr>
                <w:b/>
                <w:sz w:val="20"/>
              </w:rPr>
              <w:t>31</w:t>
            </w:r>
            <w:r>
              <w:rPr>
                <w:b/>
                <w:spacing w:val="-10"/>
                <w:sz w:val="20"/>
              </w:rPr>
              <w:t xml:space="preserve"> </w:t>
            </w:r>
            <w:r w:rsidR="00E10FB3">
              <w:rPr>
                <w:b/>
                <w:sz w:val="20"/>
              </w:rPr>
              <w:t>December</w:t>
            </w:r>
            <w:r>
              <w:rPr>
                <w:b/>
                <w:sz w:val="20"/>
              </w:rPr>
              <w:t xml:space="preserve"> </w:t>
            </w:r>
            <w:r>
              <w:rPr>
                <w:b/>
                <w:spacing w:val="-4"/>
                <w:sz w:val="20"/>
              </w:rPr>
              <w:t>2024</w:t>
            </w:r>
          </w:p>
        </w:tc>
      </w:tr>
      <w:tr w:rsidR="00AB3475" w14:paraId="533F59EA" w14:textId="77777777" w:rsidTr="00CF6AE8">
        <w:trPr>
          <w:trHeight w:val="311"/>
        </w:trPr>
        <w:tc>
          <w:tcPr>
            <w:tcW w:w="5252" w:type="dxa"/>
            <w:vMerge/>
            <w:tcBorders>
              <w:top w:val="nil"/>
            </w:tcBorders>
            <w:shd w:val="clear" w:color="auto" w:fill="CE8D95"/>
          </w:tcPr>
          <w:p w14:paraId="533F59E7" w14:textId="77777777" w:rsidR="00AB3475" w:rsidRDefault="00AB3475">
            <w:pPr>
              <w:rPr>
                <w:sz w:val="2"/>
                <w:szCs w:val="2"/>
              </w:rPr>
            </w:pPr>
          </w:p>
        </w:tc>
        <w:tc>
          <w:tcPr>
            <w:tcW w:w="1701" w:type="dxa"/>
            <w:shd w:val="clear" w:color="auto" w:fill="CE8D95"/>
          </w:tcPr>
          <w:p w14:paraId="533F59E8" w14:textId="77777777" w:rsidR="00AB3475" w:rsidRDefault="00A853B3">
            <w:pPr>
              <w:pStyle w:val="TableParagraph"/>
              <w:spacing w:before="40"/>
              <w:ind w:left="16" w:right="7"/>
              <w:jc w:val="center"/>
              <w:rPr>
                <w:b/>
                <w:sz w:val="20"/>
              </w:rPr>
            </w:pPr>
            <w:r>
              <w:rPr>
                <w:b/>
                <w:sz w:val="20"/>
              </w:rPr>
              <w:t>1</w:t>
            </w:r>
            <w:r>
              <w:rPr>
                <w:b/>
                <w:spacing w:val="-4"/>
                <w:sz w:val="20"/>
              </w:rPr>
              <w:t xml:space="preserve"> </w:t>
            </w:r>
            <w:r>
              <w:rPr>
                <w:b/>
                <w:sz w:val="20"/>
              </w:rPr>
              <w:t>year</w:t>
            </w:r>
            <w:r>
              <w:rPr>
                <w:b/>
                <w:spacing w:val="-6"/>
                <w:sz w:val="20"/>
              </w:rPr>
              <w:t xml:space="preserve"> </w:t>
            </w:r>
            <w:r>
              <w:rPr>
                <w:b/>
                <w:spacing w:val="-5"/>
                <w:sz w:val="20"/>
              </w:rPr>
              <w:t>(%)</w:t>
            </w:r>
          </w:p>
        </w:tc>
        <w:tc>
          <w:tcPr>
            <w:tcW w:w="1757" w:type="dxa"/>
            <w:shd w:val="clear" w:color="auto" w:fill="CE8D95"/>
          </w:tcPr>
          <w:p w14:paraId="533F59E9" w14:textId="77777777" w:rsidR="00AB3475" w:rsidRDefault="00A853B3">
            <w:pPr>
              <w:pStyle w:val="TableParagraph"/>
              <w:spacing w:before="40"/>
              <w:ind w:left="11" w:right="6"/>
              <w:jc w:val="center"/>
              <w:rPr>
                <w:b/>
                <w:sz w:val="20"/>
              </w:rPr>
            </w:pPr>
            <w:r>
              <w:rPr>
                <w:b/>
                <w:sz w:val="20"/>
              </w:rPr>
              <w:t>5</w:t>
            </w:r>
            <w:r>
              <w:rPr>
                <w:b/>
                <w:spacing w:val="-4"/>
                <w:sz w:val="20"/>
              </w:rPr>
              <w:t xml:space="preserve"> </w:t>
            </w:r>
            <w:r>
              <w:rPr>
                <w:b/>
                <w:sz w:val="20"/>
              </w:rPr>
              <w:t>years</w:t>
            </w:r>
            <w:r>
              <w:rPr>
                <w:b/>
                <w:spacing w:val="-4"/>
                <w:sz w:val="20"/>
              </w:rPr>
              <w:t xml:space="preserve"> </w:t>
            </w:r>
            <w:r>
              <w:rPr>
                <w:b/>
                <w:sz w:val="20"/>
              </w:rPr>
              <w:t>(%</w:t>
            </w:r>
            <w:r>
              <w:rPr>
                <w:b/>
                <w:spacing w:val="-6"/>
                <w:sz w:val="20"/>
              </w:rPr>
              <w:t xml:space="preserve"> </w:t>
            </w:r>
            <w:r>
              <w:rPr>
                <w:b/>
                <w:spacing w:val="-4"/>
                <w:sz w:val="20"/>
              </w:rPr>
              <w:t>p.a.)</w:t>
            </w:r>
          </w:p>
        </w:tc>
      </w:tr>
      <w:tr w:rsidR="00AB3475" w14:paraId="533F59EE" w14:textId="77777777">
        <w:trPr>
          <w:trHeight w:val="333"/>
        </w:trPr>
        <w:tc>
          <w:tcPr>
            <w:tcW w:w="5252" w:type="dxa"/>
          </w:tcPr>
          <w:p w14:paraId="533F59EB" w14:textId="77777777" w:rsidR="00AB3475" w:rsidRDefault="00A853B3">
            <w:pPr>
              <w:pStyle w:val="TableParagraph"/>
              <w:spacing w:before="40"/>
              <w:ind w:left="59"/>
              <w:rPr>
                <w:sz w:val="20"/>
              </w:rPr>
            </w:pPr>
            <w:r>
              <w:rPr>
                <w:spacing w:val="-5"/>
                <w:sz w:val="20"/>
              </w:rPr>
              <w:t>25</w:t>
            </w:r>
          </w:p>
        </w:tc>
        <w:tc>
          <w:tcPr>
            <w:tcW w:w="1701" w:type="dxa"/>
          </w:tcPr>
          <w:p w14:paraId="533F59EC" w14:textId="77777777" w:rsidR="00AB3475" w:rsidRPr="0050497D" w:rsidRDefault="00A853B3">
            <w:pPr>
              <w:pStyle w:val="TableParagraph"/>
              <w:spacing w:before="40"/>
              <w:ind w:left="16" w:right="4"/>
              <w:jc w:val="center"/>
            </w:pPr>
            <w:r w:rsidRPr="0050497D">
              <w:rPr>
                <w:spacing w:val="-4"/>
                <w:sz w:val="20"/>
              </w:rPr>
              <w:t>1</w:t>
            </w:r>
            <w:r w:rsidRPr="0050497D">
              <w:rPr>
                <w:spacing w:val="-4"/>
              </w:rPr>
              <w:t>2.0</w:t>
            </w:r>
          </w:p>
        </w:tc>
        <w:tc>
          <w:tcPr>
            <w:tcW w:w="1757" w:type="dxa"/>
          </w:tcPr>
          <w:p w14:paraId="533F59ED" w14:textId="62C194AF" w:rsidR="00AB3475" w:rsidRPr="0050497D" w:rsidRDefault="00A853B3">
            <w:pPr>
              <w:pStyle w:val="TableParagraph"/>
              <w:spacing w:before="40"/>
              <w:ind w:left="11"/>
              <w:jc w:val="center"/>
            </w:pPr>
            <w:r w:rsidRPr="0050497D">
              <w:rPr>
                <w:spacing w:val="-5"/>
                <w:sz w:val="20"/>
              </w:rPr>
              <w:t>5</w:t>
            </w:r>
            <w:r w:rsidRPr="0050497D">
              <w:rPr>
                <w:spacing w:val="-5"/>
              </w:rPr>
              <w:t>.</w:t>
            </w:r>
            <w:r w:rsidR="0050497D" w:rsidRPr="0050497D">
              <w:rPr>
                <w:spacing w:val="-5"/>
              </w:rPr>
              <w:t>6</w:t>
            </w:r>
          </w:p>
        </w:tc>
      </w:tr>
      <w:tr w:rsidR="00AB3475" w14:paraId="533F59F2" w14:textId="77777777">
        <w:trPr>
          <w:trHeight w:val="330"/>
        </w:trPr>
        <w:tc>
          <w:tcPr>
            <w:tcW w:w="5252" w:type="dxa"/>
          </w:tcPr>
          <w:p w14:paraId="533F59EF" w14:textId="77777777" w:rsidR="00AB3475" w:rsidRDefault="00A853B3">
            <w:pPr>
              <w:pStyle w:val="TableParagraph"/>
              <w:spacing w:before="40"/>
              <w:ind w:left="59"/>
              <w:rPr>
                <w:sz w:val="20"/>
              </w:rPr>
            </w:pPr>
            <w:r>
              <w:rPr>
                <w:spacing w:val="-5"/>
                <w:sz w:val="20"/>
              </w:rPr>
              <w:t>45</w:t>
            </w:r>
          </w:p>
        </w:tc>
        <w:tc>
          <w:tcPr>
            <w:tcW w:w="1701" w:type="dxa"/>
          </w:tcPr>
          <w:p w14:paraId="533F59F0" w14:textId="7C73CD69" w:rsidR="00AB3475" w:rsidRPr="0050497D" w:rsidRDefault="0050497D">
            <w:pPr>
              <w:pStyle w:val="TableParagraph"/>
              <w:spacing w:before="40"/>
              <w:ind w:left="16" w:right="4"/>
              <w:jc w:val="center"/>
            </w:pPr>
            <w:r w:rsidRPr="0050497D">
              <w:rPr>
                <w:spacing w:val="-4"/>
                <w:sz w:val="20"/>
              </w:rPr>
              <w:t>11.4</w:t>
            </w:r>
          </w:p>
        </w:tc>
        <w:tc>
          <w:tcPr>
            <w:tcW w:w="1757" w:type="dxa"/>
          </w:tcPr>
          <w:p w14:paraId="533F59F1" w14:textId="77777777" w:rsidR="00AB3475" w:rsidRPr="0050497D" w:rsidRDefault="00A853B3">
            <w:pPr>
              <w:pStyle w:val="TableParagraph"/>
              <w:spacing w:before="40"/>
              <w:ind w:left="11"/>
              <w:jc w:val="center"/>
            </w:pPr>
            <w:r w:rsidRPr="0050497D">
              <w:rPr>
                <w:spacing w:val="-5"/>
                <w:sz w:val="20"/>
              </w:rPr>
              <w:t>4</w:t>
            </w:r>
            <w:r w:rsidRPr="0050497D">
              <w:rPr>
                <w:spacing w:val="-5"/>
              </w:rPr>
              <w:t>.5</w:t>
            </w:r>
          </w:p>
        </w:tc>
      </w:tr>
      <w:tr w:rsidR="00AB3475" w14:paraId="533F59F6" w14:textId="77777777">
        <w:trPr>
          <w:trHeight w:val="335"/>
        </w:trPr>
        <w:tc>
          <w:tcPr>
            <w:tcW w:w="5252" w:type="dxa"/>
          </w:tcPr>
          <w:p w14:paraId="533F59F3" w14:textId="77777777" w:rsidR="00AB3475" w:rsidRDefault="00A853B3">
            <w:pPr>
              <w:pStyle w:val="TableParagraph"/>
              <w:spacing w:before="42"/>
              <w:ind w:left="59"/>
              <w:rPr>
                <w:sz w:val="20"/>
              </w:rPr>
            </w:pPr>
            <w:r>
              <w:rPr>
                <w:spacing w:val="-5"/>
                <w:sz w:val="20"/>
              </w:rPr>
              <w:t>55</w:t>
            </w:r>
          </w:p>
        </w:tc>
        <w:tc>
          <w:tcPr>
            <w:tcW w:w="1701" w:type="dxa"/>
          </w:tcPr>
          <w:p w14:paraId="533F59F4" w14:textId="1F61830E" w:rsidR="00AB3475" w:rsidRPr="0050497D" w:rsidRDefault="0050497D">
            <w:pPr>
              <w:pStyle w:val="TableParagraph"/>
              <w:spacing w:before="43"/>
              <w:ind w:left="16"/>
              <w:jc w:val="center"/>
            </w:pPr>
            <w:r w:rsidRPr="0050497D">
              <w:rPr>
                <w:spacing w:val="-5"/>
                <w:sz w:val="20"/>
              </w:rPr>
              <w:t>6.3</w:t>
            </w:r>
          </w:p>
        </w:tc>
        <w:tc>
          <w:tcPr>
            <w:tcW w:w="1757" w:type="dxa"/>
          </w:tcPr>
          <w:p w14:paraId="533F59F5" w14:textId="2E9EE098" w:rsidR="00AB3475" w:rsidRPr="0050497D" w:rsidRDefault="0050497D">
            <w:pPr>
              <w:pStyle w:val="TableParagraph"/>
              <w:spacing w:before="42"/>
              <w:ind w:left="11" w:right="2"/>
              <w:jc w:val="center"/>
              <w:rPr>
                <w:sz w:val="20"/>
              </w:rPr>
            </w:pPr>
            <w:r w:rsidRPr="0050497D">
              <w:rPr>
                <w:spacing w:val="-5"/>
                <w:sz w:val="20"/>
              </w:rPr>
              <w:t>3.4</w:t>
            </w:r>
          </w:p>
        </w:tc>
      </w:tr>
    </w:tbl>
    <w:p w14:paraId="533F59F7" w14:textId="77777777" w:rsidR="00AB3475" w:rsidRDefault="00A853B3">
      <w:pPr>
        <w:spacing w:before="121"/>
        <w:ind w:left="199"/>
        <w:rPr>
          <w:i/>
          <w:sz w:val="18"/>
        </w:rPr>
      </w:pPr>
      <w:r>
        <w:rPr>
          <w:i/>
          <w:sz w:val="18"/>
        </w:rPr>
        <w:t>Source:</w:t>
      </w:r>
      <w:r>
        <w:rPr>
          <w:i/>
          <w:spacing w:val="-2"/>
          <w:sz w:val="18"/>
        </w:rPr>
        <w:t xml:space="preserve"> </w:t>
      </w:r>
      <w:r>
        <w:rPr>
          <w:i/>
          <w:spacing w:val="-5"/>
          <w:sz w:val="18"/>
        </w:rPr>
        <w:t>L&amp;G</w:t>
      </w:r>
    </w:p>
    <w:p w14:paraId="533F59F8" w14:textId="77777777" w:rsidR="00AB3475" w:rsidRDefault="00AB3475" w:rsidP="00EA7A7B">
      <w:pPr>
        <w:pStyle w:val="BodyText"/>
        <w:spacing w:before="204"/>
        <w:rPr>
          <w:i/>
          <w:sz w:val="18"/>
        </w:rPr>
      </w:pPr>
    </w:p>
    <w:p w14:paraId="0022DE2E" w14:textId="77777777" w:rsidR="00EA7A7B" w:rsidRPr="00EA7A7B" w:rsidRDefault="00EA7A7B" w:rsidP="00EA7A7B">
      <w:pPr>
        <w:tabs>
          <w:tab w:val="left" w:pos="564"/>
        </w:tabs>
        <w:spacing w:before="1"/>
        <w:ind w:left="198"/>
        <w:outlineLvl w:val="1"/>
        <w:rPr>
          <w:b/>
          <w:bCs/>
          <w:vanish/>
        </w:rPr>
      </w:pPr>
    </w:p>
    <w:p w14:paraId="533F59F9" w14:textId="719E09D5" w:rsidR="00AB3475" w:rsidRDefault="00EA7A7B" w:rsidP="00EA7A7B">
      <w:pPr>
        <w:pStyle w:val="Heading2"/>
        <w:tabs>
          <w:tab w:val="left" w:pos="564"/>
        </w:tabs>
        <w:spacing w:before="1"/>
      </w:pPr>
      <w:r>
        <w:t>3.2</w:t>
      </w:r>
      <w:r>
        <w:tab/>
      </w:r>
      <w:r w:rsidR="00E27B3F">
        <w:t>Defined Contribution</w:t>
      </w:r>
      <w:r w:rsidR="00E27B3F">
        <w:rPr>
          <w:spacing w:val="-4"/>
        </w:rPr>
        <w:t xml:space="preserve"> </w:t>
      </w:r>
      <w:r w:rsidR="00E27B3F">
        <w:t>section</w:t>
      </w:r>
      <w:r w:rsidR="00E27B3F">
        <w:rPr>
          <w:spacing w:val="-6"/>
        </w:rPr>
        <w:t xml:space="preserve"> </w:t>
      </w:r>
      <w:r w:rsidR="00E27B3F">
        <w:t>–</w:t>
      </w:r>
      <w:r w:rsidR="00E27B3F">
        <w:rPr>
          <w:spacing w:val="-4"/>
        </w:rPr>
        <w:t xml:space="preserve"> </w:t>
      </w:r>
      <w:r w:rsidR="00E27B3F">
        <w:t>all</w:t>
      </w:r>
      <w:r w:rsidR="00E27B3F">
        <w:rPr>
          <w:spacing w:val="-3"/>
        </w:rPr>
        <w:t xml:space="preserve"> </w:t>
      </w:r>
      <w:r w:rsidR="00E27B3F">
        <w:t>L&amp;G</w:t>
      </w:r>
      <w:r w:rsidR="00E27B3F">
        <w:rPr>
          <w:spacing w:val="-5"/>
        </w:rPr>
        <w:t xml:space="preserve"> </w:t>
      </w:r>
      <w:r w:rsidR="00E27B3F">
        <w:t>PMC</w:t>
      </w:r>
      <w:r w:rsidR="00E27B3F">
        <w:rPr>
          <w:spacing w:val="-7"/>
        </w:rPr>
        <w:t xml:space="preserve"> </w:t>
      </w:r>
      <w:r w:rsidR="00E27B3F">
        <w:t>Target</w:t>
      </w:r>
      <w:r w:rsidR="00E27B3F">
        <w:rPr>
          <w:spacing w:val="-3"/>
        </w:rPr>
        <w:t xml:space="preserve"> </w:t>
      </w:r>
      <w:r w:rsidR="00E27B3F">
        <w:t>Date</w:t>
      </w:r>
      <w:r w:rsidR="00E27B3F">
        <w:rPr>
          <w:spacing w:val="-2"/>
        </w:rPr>
        <w:t xml:space="preserve"> </w:t>
      </w:r>
      <w:r w:rsidR="00E27B3F">
        <w:t>Funds</w:t>
      </w:r>
      <w:r w:rsidR="00E27B3F">
        <w:rPr>
          <w:spacing w:val="-6"/>
        </w:rPr>
        <w:t xml:space="preserve"> </w:t>
      </w:r>
      <w:r w:rsidR="00E27B3F">
        <w:t>3</w:t>
      </w:r>
      <w:r w:rsidR="00E27B3F">
        <w:rPr>
          <w:spacing w:val="-2"/>
        </w:rPr>
        <w:t xml:space="preserve"> </w:t>
      </w:r>
      <w:r w:rsidR="00E27B3F">
        <w:t>and</w:t>
      </w:r>
      <w:r w:rsidR="00E27B3F">
        <w:rPr>
          <w:spacing w:val="-2"/>
        </w:rPr>
        <w:t xml:space="preserve"> </w:t>
      </w:r>
      <w:proofErr w:type="spellStart"/>
      <w:r w:rsidR="00E27B3F">
        <w:t>self</w:t>
      </w:r>
      <w:r w:rsidR="00E27B3F">
        <w:rPr>
          <w:spacing w:val="-3"/>
        </w:rPr>
        <w:t xml:space="preserve"> </w:t>
      </w:r>
      <w:r w:rsidR="00E27B3F">
        <w:t>select</w:t>
      </w:r>
      <w:proofErr w:type="spellEnd"/>
      <w:r w:rsidR="00E27B3F">
        <w:rPr>
          <w:spacing w:val="-4"/>
        </w:rPr>
        <w:t xml:space="preserve"> </w:t>
      </w:r>
      <w:r w:rsidR="00E27B3F">
        <w:rPr>
          <w:spacing w:val="-2"/>
        </w:rPr>
        <w:t>funds</w:t>
      </w:r>
    </w:p>
    <w:p w14:paraId="533F59FA" w14:textId="77777777" w:rsidR="00AB3475" w:rsidRDefault="00AB3475">
      <w:pPr>
        <w:pStyle w:val="BodyText"/>
        <w:spacing w:before="3" w:after="1"/>
        <w:rPr>
          <w:b/>
          <w:sz w:val="1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4"/>
        <w:gridCol w:w="1199"/>
        <w:gridCol w:w="1694"/>
      </w:tblGrid>
      <w:tr w:rsidR="00AB3475" w14:paraId="533F59FD" w14:textId="77777777" w:rsidTr="00CF6AE8">
        <w:trPr>
          <w:trHeight w:val="477"/>
        </w:trPr>
        <w:tc>
          <w:tcPr>
            <w:tcW w:w="5754" w:type="dxa"/>
            <w:vMerge w:val="restart"/>
            <w:shd w:val="clear" w:color="auto" w:fill="CE8D95"/>
          </w:tcPr>
          <w:p w14:paraId="1A03D5AD" w14:textId="77777777" w:rsidR="00BB3DF5" w:rsidRDefault="00BB3DF5" w:rsidP="00BB3DF5">
            <w:pPr>
              <w:pStyle w:val="TableParagraph"/>
              <w:spacing w:before="120"/>
              <w:ind w:left="6"/>
              <w:rPr>
                <w:b/>
                <w:sz w:val="20"/>
              </w:rPr>
            </w:pPr>
            <w:bookmarkStart w:id="0" w:name="_Hlk191326420"/>
            <w:r>
              <w:rPr>
                <w:b/>
                <w:sz w:val="20"/>
              </w:rPr>
              <w:t>Table 3</w:t>
            </w:r>
          </w:p>
          <w:p w14:paraId="533F59FB" w14:textId="69771F97" w:rsidR="00AB3475" w:rsidRDefault="00A853B3" w:rsidP="00BB3DF5">
            <w:pPr>
              <w:pStyle w:val="TableParagraph"/>
              <w:spacing w:before="120"/>
              <w:ind w:left="6"/>
              <w:rPr>
                <w:b/>
                <w:sz w:val="20"/>
              </w:rPr>
            </w:pPr>
            <w:r>
              <w:rPr>
                <w:b/>
                <w:sz w:val="20"/>
              </w:rPr>
              <w:t>Fund</w:t>
            </w:r>
            <w:r>
              <w:rPr>
                <w:b/>
                <w:spacing w:val="-5"/>
                <w:sz w:val="20"/>
              </w:rPr>
              <w:t xml:space="preserve"> </w:t>
            </w:r>
            <w:r>
              <w:rPr>
                <w:b/>
                <w:spacing w:val="-4"/>
                <w:sz w:val="20"/>
              </w:rPr>
              <w:t>name</w:t>
            </w:r>
          </w:p>
        </w:tc>
        <w:tc>
          <w:tcPr>
            <w:tcW w:w="2893" w:type="dxa"/>
            <w:gridSpan w:val="2"/>
            <w:shd w:val="clear" w:color="auto" w:fill="CE8D95"/>
          </w:tcPr>
          <w:p w14:paraId="533F59FC" w14:textId="0B89AE9B" w:rsidR="00AB3475" w:rsidRDefault="00A853B3" w:rsidP="00B81408">
            <w:pPr>
              <w:pStyle w:val="TableParagraph"/>
              <w:spacing w:before="0" w:line="230" w:lineRule="exact"/>
              <w:ind w:left="81" w:right="70" w:hanging="1"/>
              <w:jc w:val="center"/>
              <w:rPr>
                <w:b/>
                <w:sz w:val="20"/>
              </w:rPr>
            </w:pPr>
            <w:r>
              <w:rPr>
                <w:b/>
                <w:sz w:val="20"/>
              </w:rPr>
              <w:t>Net</w:t>
            </w:r>
            <w:r>
              <w:rPr>
                <w:b/>
                <w:spacing w:val="-9"/>
                <w:sz w:val="20"/>
              </w:rPr>
              <w:t xml:space="preserve"> </w:t>
            </w:r>
            <w:r>
              <w:rPr>
                <w:b/>
                <w:sz w:val="20"/>
              </w:rPr>
              <w:t>investment</w:t>
            </w:r>
            <w:r>
              <w:rPr>
                <w:b/>
                <w:spacing w:val="-9"/>
                <w:sz w:val="20"/>
              </w:rPr>
              <w:t xml:space="preserve"> </w:t>
            </w:r>
            <w:r>
              <w:rPr>
                <w:b/>
                <w:sz w:val="20"/>
              </w:rPr>
              <w:t>return</w:t>
            </w:r>
            <w:r>
              <w:rPr>
                <w:b/>
                <w:spacing w:val="-7"/>
                <w:sz w:val="20"/>
              </w:rPr>
              <w:t xml:space="preserve"> </w:t>
            </w:r>
            <w:r>
              <w:rPr>
                <w:b/>
                <w:sz w:val="20"/>
              </w:rPr>
              <w:t>to</w:t>
            </w:r>
            <w:r>
              <w:rPr>
                <w:b/>
                <w:spacing w:val="-9"/>
                <w:sz w:val="20"/>
              </w:rPr>
              <w:t xml:space="preserve"> </w:t>
            </w:r>
            <w:r>
              <w:rPr>
                <w:b/>
                <w:sz w:val="20"/>
              </w:rPr>
              <w:t>31</w:t>
            </w:r>
            <w:r>
              <w:rPr>
                <w:b/>
                <w:spacing w:val="-9"/>
                <w:sz w:val="20"/>
              </w:rPr>
              <w:t xml:space="preserve"> </w:t>
            </w:r>
            <w:r w:rsidR="00B81408">
              <w:rPr>
                <w:b/>
                <w:sz w:val="20"/>
              </w:rPr>
              <w:t>December</w:t>
            </w:r>
            <w:r>
              <w:rPr>
                <w:b/>
                <w:sz w:val="20"/>
              </w:rPr>
              <w:t xml:space="preserve"> </w:t>
            </w:r>
            <w:r>
              <w:rPr>
                <w:b/>
                <w:spacing w:val="-4"/>
                <w:sz w:val="20"/>
              </w:rPr>
              <w:t>2024</w:t>
            </w:r>
          </w:p>
        </w:tc>
      </w:tr>
      <w:tr w:rsidR="00752539" w14:paraId="533F5A01" w14:textId="77777777" w:rsidTr="00BB3DF5">
        <w:trPr>
          <w:trHeight w:val="58"/>
        </w:trPr>
        <w:tc>
          <w:tcPr>
            <w:tcW w:w="5754" w:type="dxa"/>
            <w:vMerge/>
            <w:tcBorders>
              <w:top w:val="nil"/>
            </w:tcBorders>
            <w:shd w:val="clear" w:color="auto" w:fill="CE8D95"/>
          </w:tcPr>
          <w:p w14:paraId="533F59FE" w14:textId="77777777" w:rsidR="00AB3475" w:rsidRDefault="00AB3475">
            <w:pPr>
              <w:rPr>
                <w:sz w:val="2"/>
                <w:szCs w:val="2"/>
              </w:rPr>
            </w:pPr>
          </w:p>
        </w:tc>
        <w:tc>
          <w:tcPr>
            <w:tcW w:w="1199" w:type="dxa"/>
            <w:shd w:val="clear" w:color="auto" w:fill="CE8D95"/>
          </w:tcPr>
          <w:p w14:paraId="533F59FF" w14:textId="77777777" w:rsidR="00AB3475" w:rsidRDefault="00A853B3">
            <w:pPr>
              <w:pStyle w:val="TableParagraph"/>
              <w:spacing w:before="0" w:line="229" w:lineRule="exact"/>
              <w:ind w:left="16" w:right="7"/>
              <w:jc w:val="center"/>
              <w:rPr>
                <w:b/>
                <w:sz w:val="20"/>
              </w:rPr>
            </w:pPr>
            <w:r>
              <w:rPr>
                <w:b/>
                <w:sz w:val="20"/>
              </w:rPr>
              <w:t>1</w:t>
            </w:r>
            <w:r>
              <w:rPr>
                <w:b/>
                <w:spacing w:val="-4"/>
                <w:sz w:val="20"/>
              </w:rPr>
              <w:t xml:space="preserve"> </w:t>
            </w:r>
            <w:r>
              <w:rPr>
                <w:b/>
                <w:sz w:val="20"/>
              </w:rPr>
              <w:t>year</w:t>
            </w:r>
            <w:r>
              <w:rPr>
                <w:b/>
                <w:spacing w:val="-6"/>
                <w:sz w:val="20"/>
              </w:rPr>
              <w:t xml:space="preserve"> </w:t>
            </w:r>
            <w:r>
              <w:rPr>
                <w:b/>
                <w:spacing w:val="-5"/>
                <w:sz w:val="20"/>
              </w:rPr>
              <w:t>(%)</w:t>
            </w:r>
          </w:p>
        </w:tc>
        <w:tc>
          <w:tcPr>
            <w:tcW w:w="1694" w:type="dxa"/>
            <w:shd w:val="clear" w:color="auto" w:fill="CE8D95"/>
          </w:tcPr>
          <w:p w14:paraId="533F5A00" w14:textId="27729A7C" w:rsidR="00AB3475" w:rsidRDefault="00CF6AE8" w:rsidP="00CF6AE8">
            <w:pPr>
              <w:pStyle w:val="TableParagraph"/>
              <w:tabs>
                <w:tab w:val="center" w:pos="845"/>
              </w:tabs>
              <w:spacing w:before="0" w:line="229" w:lineRule="exact"/>
              <w:ind w:left="10" w:right="4"/>
              <w:rPr>
                <w:b/>
                <w:sz w:val="20"/>
              </w:rPr>
            </w:pPr>
            <w:r>
              <w:rPr>
                <w:b/>
                <w:sz w:val="20"/>
              </w:rPr>
              <w:tab/>
              <w:t>5</w:t>
            </w:r>
            <w:r>
              <w:rPr>
                <w:b/>
                <w:spacing w:val="-4"/>
                <w:sz w:val="20"/>
              </w:rPr>
              <w:t xml:space="preserve"> </w:t>
            </w:r>
            <w:r>
              <w:rPr>
                <w:b/>
                <w:sz w:val="20"/>
              </w:rPr>
              <w:t>years</w:t>
            </w:r>
            <w:r>
              <w:rPr>
                <w:b/>
                <w:spacing w:val="-4"/>
                <w:sz w:val="20"/>
              </w:rPr>
              <w:t xml:space="preserve"> </w:t>
            </w:r>
            <w:r>
              <w:rPr>
                <w:b/>
                <w:sz w:val="20"/>
              </w:rPr>
              <w:t>(%</w:t>
            </w:r>
            <w:r>
              <w:rPr>
                <w:b/>
                <w:spacing w:val="-6"/>
                <w:sz w:val="20"/>
              </w:rPr>
              <w:t xml:space="preserve"> </w:t>
            </w:r>
            <w:r>
              <w:rPr>
                <w:b/>
                <w:spacing w:val="-4"/>
                <w:sz w:val="20"/>
              </w:rPr>
              <w:t>p.a.)</w:t>
            </w:r>
          </w:p>
        </w:tc>
      </w:tr>
      <w:tr w:rsidR="00A75380" w14:paraId="533F5A05" w14:textId="77777777" w:rsidTr="002476C7">
        <w:trPr>
          <w:trHeight w:val="312"/>
        </w:trPr>
        <w:tc>
          <w:tcPr>
            <w:tcW w:w="5754" w:type="dxa"/>
          </w:tcPr>
          <w:p w14:paraId="533F5A02"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2070</w:t>
            </w:r>
            <w:r>
              <w:rPr>
                <w:spacing w:val="-5"/>
                <w:sz w:val="20"/>
              </w:rPr>
              <w:t xml:space="preserve"> </w:t>
            </w:r>
            <w:r>
              <w:rPr>
                <w:sz w:val="20"/>
              </w:rPr>
              <w:t>-</w:t>
            </w:r>
            <w:r>
              <w:rPr>
                <w:spacing w:val="-5"/>
                <w:sz w:val="20"/>
              </w:rPr>
              <w:t xml:space="preserve"> </w:t>
            </w:r>
            <w:r>
              <w:rPr>
                <w:sz w:val="20"/>
              </w:rPr>
              <w:t>2075</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03" w14:textId="3C1180DD"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pacing w:val="-4"/>
                <w:sz w:val="20"/>
              </w:rPr>
              <w:t>12.0%</w:t>
            </w:r>
          </w:p>
        </w:tc>
        <w:tc>
          <w:tcPr>
            <w:tcW w:w="1694" w:type="dxa"/>
          </w:tcPr>
          <w:p w14:paraId="533F5A04" w14:textId="6ADD97A5" w:rsidR="00A75380" w:rsidRPr="00B81408" w:rsidRDefault="00A75380" w:rsidP="00A75380">
            <w:pPr>
              <w:pStyle w:val="TableParagraph"/>
              <w:spacing w:before="100" w:beforeAutospacing="1" w:after="100" w:afterAutospacing="1"/>
              <w:ind w:left="10" w:right="1"/>
              <w:contextualSpacing/>
              <w:jc w:val="center"/>
              <w:rPr>
                <w:sz w:val="20"/>
                <w:highlight w:val="lightGray"/>
              </w:rPr>
            </w:pPr>
            <w:r w:rsidRPr="00785D13">
              <w:rPr>
                <w:sz w:val="20"/>
              </w:rPr>
              <w:t>Not</w:t>
            </w:r>
            <w:r w:rsidRPr="00785D13">
              <w:rPr>
                <w:spacing w:val="-5"/>
                <w:sz w:val="20"/>
              </w:rPr>
              <w:t xml:space="preserve"> </w:t>
            </w:r>
            <w:r w:rsidRPr="00785D13">
              <w:rPr>
                <w:spacing w:val="-2"/>
                <w:sz w:val="20"/>
              </w:rPr>
              <w:t>available</w:t>
            </w:r>
          </w:p>
        </w:tc>
      </w:tr>
      <w:tr w:rsidR="00A75380" w14:paraId="533F5A09" w14:textId="77777777" w:rsidTr="002476C7">
        <w:trPr>
          <w:trHeight w:val="312"/>
        </w:trPr>
        <w:tc>
          <w:tcPr>
            <w:tcW w:w="5754" w:type="dxa"/>
          </w:tcPr>
          <w:p w14:paraId="533F5A06"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2065</w:t>
            </w:r>
            <w:r>
              <w:rPr>
                <w:spacing w:val="-5"/>
                <w:sz w:val="20"/>
              </w:rPr>
              <w:t xml:space="preserve"> </w:t>
            </w:r>
            <w:r>
              <w:rPr>
                <w:sz w:val="20"/>
              </w:rPr>
              <w:t>-</w:t>
            </w:r>
            <w:r>
              <w:rPr>
                <w:spacing w:val="-5"/>
                <w:sz w:val="20"/>
              </w:rPr>
              <w:t xml:space="preserve"> </w:t>
            </w:r>
            <w:r>
              <w:rPr>
                <w:sz w:val="20"/>
              </w:rPr>
              <w:t>2070</w:t>
            </w:r>
            <w:r>
              <w:rPr>
                <w:spacing w:val="-5"/>
                <w:sz w:val="20"/>
              </w:rPr>
              <w:t xml:space="preserve"> </w:t>
            </w:r>
            <w:r>
              <w:rPr>
                <w:sz w:val="20"/>
              </w:rPr>
              <w:t>Target</w:t>
            </w:r>
            <w:r>
              <w:rPr>
                <w:spacing w:val="-5"/>
                <w:sz w:val="20"/>
              </w:rPr>
              <w:t xml:space="preserve"> </w:t>
            </w:r>
            <w:r>
              <w:rPr>
                <w:sz w:val="20"/>
              </w:rPr>
              <w:t>Date</w:t>
            </w:r>
            <w:r>
              <w:rPr>
                <w:spacing w:val="-5"/>
                <w:sz w:val="20"/>
              </w:rPr>
              <w:t xml:space="preserve"> </w:t>
            </w:r>
            <w:r>
              <w:rPr>
                <w:sz w:val="20"/>
              </w:rPr>
              <w:t>Fund</w:t>
            </w:r>
            <w:r>
              <w:rPr>
                <w:spacing w:val="-4"/>
                <w:sz w:val="20"/>
              </w:rPr>
              <w:t xml:space="preserve"> </w:t>
            </w:r>
            <w:r>
              <w:rPr>
                <w:spacing w:val="-10"/>
                <w:sz w:val="20"/>
              </w:rPr>
              <w:t>3</w:t>
            </w:r>
          </w:p>
        </w:tc>
        <w:tc>
          <w:tcPr>
            <w:tcW w:w="1199" w:type="dxa"/>
          </w:tcPr>
          <w:p w14:paraId="533F5A07" w14:textId="520F8C14"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pacing w:val="-4"/>
                <w:sz w:val="20"/>
              </w:rPr>
              <w:t>12.0%</w:t>
            </w:r>
          </w:p>
        </w:tc>
        <w:tc>
          <w:tcPr>
            <w:tcW w:w="1694" w:type="dxa"/>
          </w:tcPr>
          <w:p w14:paraId="533F5A08" w14:textId="397DADEA"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pacing w:val="-5"/>
                <w:sz w:val="20"/>
              </w:rPr>
              <w:t>5.7%</w:t>
            </w:r>
          </w:p>
        </w:tc>
      </w:tr>
      <w:tr w:rsidR="00A75380" w14:paraId="533F5A0D" w14:textId="77777777" w:rsidTr="002476C7">
        <w:trPr>
          <w:trHeight w:val="312"/>
        </w:trPr>
        <w:tc>
          <w:tcPr>
            <w:tcW w:w="5754" w:type="dxa"/>
          </w:tcPr>
          <w:p w14:paraId="533F5A0A"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2060</w:t>
            </w:r>
            <w:r>
              <w:rPr>
                <w:spacing w:val="-5"/>
                <w:sz w:val="20"/>
              </w:rPr>
              <w:t xml:space="preserve"> </w:t>
            </w:r>
            <w:r>
              <w:rPr>
                <w:sz w:val="20"/>
              </w:rPr>
              <w:t>-</w:t>
            </w:r>
            <w:r>
              <w:rPr>
                <w:spacing w:val="-5"/>
                <w:sz w:val="20"/>
              </w:rPr>
              <w:t xml:space="preserve"> </w:t>
            </w:r>
            <w:r>
              <w:rPr>
                <w:sz w:val="20"/>
              </w:rPr>
              <w:t>2065</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0B" w14:textId="2585AAE6"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pacing w:val="-4"/>
                <w:sz w:val="20"/>
              </w:rPr>
              <w:t>11.6%</w:t>
            </w:r>
          </w:p>
        </w:tc>
        <w:tc>
          <w:tcPr>
            <w:tcW w:w="1694" w:type="dxa"/>
          </w:tcPr>
          <w:p w14:paraId="533F5A0C" w14:textId="13F9F893"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pacing w:val="-5"/>
                <w:sz w:val="20"/>
              </w:rPr>
              <w:t>5.6%</w:t>
            </w:r>
          </w:p>
        </w:tc>
      </w:tr>
      <w:tr w:rsidR="00A75380" w14:paraId="533F5A11" w14:textId="77777777" w:rsidTr="002476C7">
        <w:trPr>
          <w:trHeight w:val="312"/>
        </w:trPr>
        <w:tc>
          <w:tcPr>
            <w:tcW w:w="5754" w:type="dxa"/>
          </w:tcPr>
          <w:p w14:paraId="533F5A0E"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2055</w:t>
            </w:r>
            <w:r>
              <w:rPr>
                <w:spacing w:val="-5"/>
                <w:sz w:val="20"/>
              </w:rPr>
              <w:t xml:space="preserve"> </w:t>
            </w:r>
            <w:r>
              <w:rPr>
                <w:sz w:val="20"/>
              </w:rPr>
              <w:t>-</w:t>
            </w:r>
            <w:r>
              <w:rPr>
                <w:spacing w:val="-5"/>
                <w:sz w:val="20"/>
              </w:rPr>
              <w:t xml:space="preserve"> </w:t>
            </w:r>
            <w:r>
              <w:rPr>
                <w:sz w:val="20"/>
              </w:rPr>
              <w:t>2060</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0F" w14:textId="77C1C9A9"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11.4%</w:t>
            </w:r>
          </w:p>
        </w:tc>
        <w:tc>
          <w:tcPr>
            <w:tcW w:w="1694" w:type="dxa"/>
          </w:tcPr>
          <w:p w14:paraId="533F5A10" w14:textId="60624351"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5.6%</w:t>
            </w:r>
          </w:p>
        </w:tc>
      </w:tr>
      <w:tr w:rsidR="00A75380" w14:paraId="533F5A15" w14:textId="77777777" w:rsidTr="002476C7">
        <w:trPr>
          <w:trHeight w:val="312"/>
        </w:trPr>
        <w:tc>
          <w:tcPr>
            <w:tcW w:w="5754" w:type="dxa"/>
          </w:tcPr>
          <w:p w14:paraId="533F5A12"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2050</w:t>
            </w:r>
            <w:r>
              <w:rPr>
                <w:spacing w:val="-5"/>
                <w:sz w:val="20"/>
              </w:rPr>
              <w:t xml:space="preserve"> </w:t>
            </w:r>
            <w:r>
              <w:rPr>
                <w:sz w:val="20"/>
              </w:rPr>
              <w:t>-</w:t>
            </w:r>
            <w:r>
              <w:rPr>
                <w:spacing w:val="-5"/>
                <w:sz w:val="20"/>
              </w:rPr>
              <w:t xml:space="preserve"> </w:t>
            </w:r>
            <w:r>
              <w:rPr>
                <w:sz w:val="20"/>
              </w:rPr>
              <w:t>2055</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13" w14:textId="34BD5C0F"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11.3%</w:t>
            </w:r>
          </w:p>
        </w:tc>
        <w:tc>
          <w:tcPr>
            <w:tcW w:w="1694" w:type="dxa"/>
          </w:tcPr>
          <w:p w14:paraId="533F5A14" w14:textId="5F8178EC"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5.8%</w:t>
            </w:r>
          </w:p>
        </w:tc>
      </w:tr>
      <w:tr w:rsidR="00A75380" w14:paraId="533F5A19" w14:textId="77777777" w:rsidTr="002476C7">
        <w:trPr>
          <w:trHeight w:val="312"/>
        </w:trPr>
        <w:tc>
          <w:tcPr>
            <w:tcW w:w="5754" w:type="dxa"/>
          </w:tcPr>
          <w:p w14:paraId="533F5A16"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2045</w:t>
            </w:r>
            <w:r>
              <w:rPr>
                <w:spacing w:val="-5"/>
                <w:sz w:val="20"/>
              </w:rPr>
              <w:t xml:space="preserve"> </w:t>
            </w:r>
            <w:r>
              <w:rPr>
                <w:sz w:val="20"/>
              </w:rPr>
              <w:t>-</w:t>
            </w:r>
            <w:r>
              <w:rPr>
                <w:spacing w:val="-5"/>
                <w:sz w:val="20"/>
              </w:rPr>
              <w:t xml:space="preserve"> </w:t>
            </w:r>
            <w:r>
              <w:rPr>
                <w:sz w:val="20"/>
              </w:rPr>
              <w:t>2050</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17" w14:textId="0508EEE6"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11.4%</w:t>
            </w:r>
          </w:p>
        </w:tc>
        <w:tc>
          <w:tcPr>
            <w:tcW w:w="1694" w:type="dxa"/>
          </w:tcPr>
          <w:p w14:paraId="533F5A18" w14:textId="42C19604"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5.4%</w:t>
            </w:r>
          </w:p>
        </w:tc>
      </w:tr>
      <w:tr w:rsidR="00A75380" w14:paraId="533F5A1D" w14:textId="77777777" w:rsidTr="002476C7">
        <w:trPr>
          <w:trHeight w:val="312"/>
        </w:trPr>
        <w:tc>
          <w:tcPr>
            <w:tcW w:w="5754" w:type="dxa"/>
          </w:tcPr>
          <w:p w14:paraId="533F5A1A"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2040</w:t>
            </w:r>
            <w:r>
              <w:rPr>
                <w:spacing w:val="-5"/>
                <w:sz w:val="20"/>
              </w:rPr>
              <w:t xml:space="preserve"> </w:t>
            </w:r>
            <w:r>
              <w:rPr>
                <w:sz w:val="20"/>
              </w:rPr>
              <w:t>-</w:t>
            </w:r>
            <w:r>
              <w:rPr>
                <w:spacing w:val="-5"/>
                <w:sz w:val="20"/>
              </w:rPr>
              <w:t xml:space="preserve"> </w:t>
            </w:r>
            <w:r>
              <w:rPr>
                <w:sz w:val="20"/>
              </w:rPr>
              <w:t>2045</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1B" w14:textId="17A4F497"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11.4%</w:t>
            </w:r>
          </w:p>
        </w:tc>
        <w:tc>
          <w:tcPr>
            <w:tcW w:w="1694" w:type="dxa"/>
          </w:tcPr>
          <w:p w14:paraId="533F5A1C" w14:textId="2E48163B"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5.4%</w:t>
            </w:r>
          </w:p>
        </w:tc>
      </w:tr>
      <w:tr w:rsidR="00A75380" w14:paraId="533F5A21" w14:textId="77777777" w:rsidTr="002476C7">
        <w:trPr>
          <w:trHeight w:val="312"/>
        </w:trPr>
        <w:tc>
          <w:tcPr>
            <w:tcW w:w="5754" w:type="dxa"/>
          </w:tcPr>
          <w:p w14:paraId="533F5A1E"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2035</w:t>
            </w:r>
            <w:r>
              <w:rPr>
                <w:spacing w:val="-5"/>
                <w:sz w:val="20"/>
              </w:rPr>
              <w:t xml:space="preserve"> </w:t>
            </w:r>
            <w:r>
              <w:rPr>
                <w:sz w:val="20"/>
              </w:rPr>
              <w:t>-</w:t>
            </w:r>
            <w:r>
              <w:rPr>
                <w:spacing w:val="-5"/>
                <w:sz w:val="20"/>
              </w:rPr>
              <w:t xml:space="preserve"> </w:t>
            </w:r>
            <w:r>
              <w:rPr>
                <w:sz w:val="20"/>
              </w:rPr>
              <w:t>2040</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1F" w14:textId="1E8992F4"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10%</w:t>
            </w:r>
          </w:p>
        </w:tc>
        <w:tc>
          <w:tcPr>
            <w:tcW w:w="1694" w:type="dxa"/>
          </w:tcPr>
          <w:p w14:paraId="533F5A20" w14:textId="1ED752FD"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4.20%</w:t>
            </w:r>
          </w:p>
        </w:tc>
      </w:tr>
      <w:tr w:rsidR="00A75380" w14:paraId="533F5A25" w14:textId="77777777" w:rsidTr="002476C7">
        <w:trPr>
          <w:trHeight w:val="312"/>
        </w:trPr>
        <w:tc>
          <w:tcPr>
            <w:tcW w:w="5754" w:type="dxa"/>
          </w:tcPr>
          <w:p w14:paraId="533F5A22"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2030</w:t>
            </w:r>
            <w:r>
              <w:rPr>
                <w:spacing w:val="-5"/>
                <w:sz w:val="20"/>
              </w:rPr>
              <w:t xml:space="preserve"> </w:t>
            </w:r>
            <w:r>
              <w:rPr>
                <w:sz w:val="20"/>
              </w:rPr>
              <w:t>-</w:t>
            </w:r>
            <w:r>
              <w:rPr>
                <w:spacing w:val="-5"/>
                <w:sz w:val="20"/>
              </w:rPr>
              <w:t xml:space="preserve"> </w:t>
            </w:r>
            <w:r>
              <w:rPr>
                <w:sz w:val="20"/>
              </w:rPr>
              <w:t>2035</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23" w14:textId="45977E2A"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t>6.3%</w:t>
            </w:r>
          </w:p>
        </w:tc>
        <w:tc>
          <w:tcPr>
            <w:tcW w:w="1694" w:type="dxa"/>
          </w:tcPr>
          <w:p w14:paraId="533F5A24" w14:textId="5FCFEB52"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3.4%</w:t>
            </w:r>
          </w:p>
        </w:tc>
      </w:tr>
      <w:tr w:rsidR="00A75380" w14:paraId="533F5A29" w14:textId="77777777" w:rsidTr="002476C7">
        <w:trPr>
          <w:trHeight w:val="312"/>
        </w:trPr>
        <w:tc>
          <w:tcPr>
            <w:tcW w:w="5754" w:type="dxa"/>
          </w:tcPr>
          <w:p w14:paraId="533F5A26"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2025</w:t>
            </w:r>
            <w:r>
              <w:rPr>
                <w:spacing w:val="-5"/>
                <w:sz w:val="20"/>
              </w:rPr>
              <w:t xml:space="preserve"> </w:t>
            </w:r>
            <w:r>
              <w:rPr>
                <w:sz w:val="20"/>
              </w:rPr>
              <w:t>-</w:t>
            </w:r>
            <w:r>
              <w:rPr>
                <w:spacing w:val="-5"/>
                <w:sz w:val="20"/>
              </w:rPr>
              <w:t xml:space="preserve"> </w:t>
            </w:r>
            <w:r>
              <w:rPr>
                <w:sz w:val="20"/>
              </w:rPr>
              <w:t>2030</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27" w14:textId="46838F5E"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5.1%</w:t>
            </w:r>
          </w:p>
        </w:tc>
        <w:tc>
          <w:tcPr>
            <w:tcW w:w="1694" w:type="dxa"/>
          </w:tcPr>
          <w:p w14:paraId="533F5A28" w14:textId="401FD62D"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2.7%</w:t>
            </w:r>
          </w:p>
        </w:tc>
      </w:tr>
      <w:tr w:rsidR="00A75380" w14:paraId="533F5A2D" w14:textId="77777777" w:rsidTr="002476C7">
        <w:trPr>
          <w:trHeight w:val="312"/>
        </w:trPr>
        <w:tc>
          <w:tcPr>
            <w:tcW w:w="5754" w:type="dxa"/>
          </w:tcPr>
          <w:p w14:paraId="533F5A2A"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2020</w:t>
            </w:r>
            <w:r>
              <w:rPr>
                <w:spacing w:val="-5"/>
                <w:sz w:val="20"/>
              </w:rPr>
              <w:t xml:space="preserve"> </w:t>
            </w:r>
            <w:r>
              <w:rPr>
                <w:sz w:val="20"/>
              </w:rPr>
              <w:t>-</w:t>
            </w:r>
            <w:r>
              <w:rPr>
                <w:spacing w:val="-5"/>
                <w:sz w:val="20"/>
              </w:rPr>
              <w:t xml:space="preserve"> </w:t>
            </w:r>
            <w:r>
              <w:rPr>
                <w:sz w:val="20"/>
              </w:rPr>
              <w:t>2025</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2B" w14:textId="20684BB3"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4.5%</w:t>
            </w:r>
          </w:p>
        </w:tc>
        <w:tc>
          <w:tcPr>
            <w:tcW w:w="1694" w:type="dxa"/>
          </w:tcPr>
          <w:p w14:paraId="533F5A2C" w14:textId="5C2CD337"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2.40%</w:t>
            </w:r>
          </w:p>
        </w:tc>
      </w:tr>
      <w:tr w:rsidR="00A75380" w14:paraId="533F5A31" w14:textId="77777777" w:rsidTr="002476C7">
        <w:trPr>
          <w:trHeight w:val="312"/>
        </w:trPr>
        <w:tc>
          <w:tcPr>
            <w:tcW w:w="5754" w:type="dxa"/>
          </w:tcPr>
          <w:p w14:paraId="533F5A2E" w14:textId="77777777" w:rsidR="00A75380" w:rsidRDefault="00A75380" w:rsidP="00A75380">
            <w:pPr>
              <w:pStyle w:val="TableParagraph"/>
              <w:spacing w:before="100" w:beforeAutospacing="1" w:after="100" w:afterAutospacing="1"/>
              <w:ind w:left="4"/>
              <w:contextualSpacing/>
              <w:rPr>
                <w:sz w:val="20"/>
              </w:rPr>
            </w:pPr>
            <w:r>
              <w:rPr>
                <w:sz w:val="20"/>
              </w:rPr>
              <w:t>L&amp;G</w:t>
            </w:r>
            <w:r>
              <w:rPr>
                <w:spacing w:val="-2"/>
                <w:sz w:val="20"/>
              </w:rPr>
              <w:t xml:space="preserve"> </w:t>
            </w:r>
            <w:r>
              <w:rPr>
                <w:sz w:val="20"/>
              </w:rPr>
              <w:t>PMC</w:t>
            </w:r>
            <w:r>
              <w:rPr>
                <w:spacing w:val="-3"/>
                <w:sz w:val="20"/>
              </w:rPr>
              <w:t xml:space="preserve"> </w:t>
            </w:r>
            <w:r>
              <w:rPr>
                <w:sz w:val="20"/>
              </w:rPr>
              <w:t>2015</w:t>
            </w:r>
            <w:r>
              <w:rPr>
                <w:spacing w:val="-5"/>
                <w:sz w:val="20"/>
              </w:rPr>
              <w:t xml:space="preserve"> </w:t>
            </w:r>
            <w:r>
              <w:rPr>
                <w:sz w:val="20"/>
              </w:rPr>
              <w:t>-</w:t>
            </w:r>
            <w:r>
              <w:rPr>
                <w:spacing w:val="-5"/>
                <w:sz w:val="20"/>
              </w:rPr>
              <w:t xml:space="preserve"> </w:t>
            </w:r>
            <w:r>
              <w:rPr>
                <w:sz w:val="20"/>
              </w:rPr>
              <w:t>2020</w:t>
            </w:r>
            <w:r>
              <w:rPr>
                <w:spacing w:val="-5"/>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4"/>
                <w:sz w:val="20"/>
              </w:rPr>
              <w:t xml:space="preserve"> </w:t>
            </w:r>
            <w:r>
              <w:rPr>
                <w:spacing w:val="-10"/>
                <w:sz w:val="20"/>
              </w:rPr>
              <w:t>3</w:t>
            </w:r>
          </w:p>
        </w:tc>
        <w:tc>
          <w:tcPr>
            <w:tcW w:w="1199" w:type="dxa"/>
          </w:tcPr>
          <w:p w14:paraId="533F5A2F" w14:textId="3EAFBFDE" w:rsidR="00A75380" w:rsidRPr="00B81408" w:rsidRDefault="00A75380" w:rsidP="00A75380">
            <w:pPr>
              <w:pStyle w:val="TableParagraph"/>
              <w:spacing w:before="100" w:beforeAutospacing="1" w:after="100" w:afterAutospacing="1"/>
              <w:ind w:left="16" w:right="6"/>
              <w:contextualSpacing/>
              <w:jc w:val="center"/>
              <w:rPr>
                <w:sz w:val="20"/>
                <w:highlight w:val="lightGray"/>
              </w:rPr>
            </w:pPr>
            <w:r w:rsidRPr="00785D13">
              <w:rPr>
                <w:sz w:val="20"/>
              </w:rPr>
              <w:t>3.2%</w:t>
            </w:r>
          </w:p>
        </w:tc>
        <w:tc>
          <w:tcPr>
            <w:tcW w:w="1694" w:type="dxa"/>
          </w:tcPr>
          <w:p w14:paraId="533F5A30" w14:textId="77608E26" w:rsidR="00A75380" w:rsidRPr="00B81408" w:rsidRDefault="00A75380" w:rsidP="00A75380">
            <w:pPr>
              <w:pStyle w:val="TableParagraph"/>
              <w:spacing w:before="100" w:beforeAutospacing="1" w:after="100" w:afterAutospacing="1"/>
              <w:ind w:left="10"/>
              <w:contextualSpacing/>
              <w:jc w:val="center"/>
              <w:rPr>
                <w:sz w:val="20"/>
                <w:highlight w:val="lightGray"/>
              </w:rPr>
            </w:pPr>
            <w:r w:rsidRPr="00785D13">
              <w:rPr>
                <w:sz w:val="20"/>
              </w:rPr>
              <w:t>1.3%</w:t>
            </w:r>
          </w:p>
        </w:tc>
      </w:tr>
      <w:tr w:rsidR="007A53B0" w14:paraId="1D13CF32" w14:textId="77777777" w:rsidTr="002B2BA3">
        <w:trPr>
          <w:trHeight w:val="309"/>
        </w:trPr>
        <w:tc>
          <w:tcPr>
            <w:tcW w:w="5754" w:type="dxa"/>
          </w:tcPr>
          <w:p w14:paraId="693C90B7" w14:textId="6BD6F9DA" w:rsidR="007A53B0" w:rsidRDefault="007A53B0" w:rsidP="007A53B0">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Active</w:t>
            </w:r>
            <w:r w:rsidRPr="00C7327A">
              <w:rPr>
                <w:spacing w:val="-6"/>
                <w:sz w:val="20"/>
                <w:szCs w:val="20"/>
              </w:rPr>
              <w:t xml:space="preserve"> </w:t>
            </w:r>
            <w:r w:rsidRPr="00C7327A">
              <w:rPr>
                <w:sz w:val="20"/>
                <w:szCs w:val="20"/>
              </w:rPr>
              <w:t>Global</w:t>
            </w:r>
            <w:r w:rsidRPr="00C7327A">
              <w:rPr>
                <w:spacing w:val="-6"/>
                <w:sz w:val="20"/>
                <w:szCs w:val="20"/>
              </w:rPr>
              <w:t xml:space="preserve"> </w:t>
            </w:r>
            <w:r w:rsidRPr="00C7327A">
              <w:rPr>
                <w:sz w:val="20"/>
                <w:szCs w:val="20"/>
              </w:rPr>
              <w:t>Equity</w:t>
            </w:r>
            <w:r w:rsidRPr="00C7327A">
              <w:rPr>
                <w:spacing w:val="-4"/>
                <w:sz w:val="20"/>
                <w:szCs w:val="20"/>
              </w:rPr>
              <w:t xml:space="preserve"> Fund</w:t>
            </w:r>
          </w:p>
        </w:tc>
        <w:tc>
          <w:tcPr>
            <w:tcW w:w="1199" w:type="dxa"/>
          </w:tcPr>
          <w:p w14:paraId="5388B484" w14:textId="51BD3F48" w:rsidR="007A53B0" w:rsidRPr="00B81408" w:rsidRDefault="007A53B0" w:rsidP="007A53B0">
            <w:pPr>
              <w:pStyle w:val="TableParagraph"/>
              <w:spacing w:before="100" w:beforeAutospacing="1" w:after="100" w:afterAutospacing="1"/>
              <w:ind w:left="16" w:right="6"/>
              <w:jc w:val="center"/>
              <w:rPr>
                <w:spacing w:val="-5"/>
                <w:sz w:val="20"/>
                <w:highlight w:val="lightGray"/>
              </w:rPr>
            </w:pPr>
            <w:r w:rsidRPr="00785D13">
              <w:rPr>
                <w:spacing w:val="-5"/>
                <w:sz w:val="20"/>
              </w:rPr>
              <w:t>7.2%</w:t>
            </w:r>
          </w:p>
        </w:tc>
        <w:tc>
          <w:tcPr>
            <w:tcW w:w="1694" w:type="dxa"/>
          </w:tcPr>
          <w:p w14:paraId="3E820558" w14:textId="64319D9F" w:rsidR="007A53B0" w:rsidRPr="00B81408" w:rsidRDefault="007A53B0" w:rsidP="007A53B0">
            <w:pPr>
              <w:pStyle w:val="TableParagraph"/>
              <w:spacing w:before="100" w:beforeAutospacing="1" w:after="100" w:afterAutospacing="1"/>
              <w:ind w:left="10"/>
              <w:jc w:val="center"/>
              <w:rPr>
                <w:spacing w:val="-5"/>
                <w:sz w:val="20"/>
                <w:highlight w:val="lightGray"/>
              </w:rPr>
            </w:pPr>
            <w:r w:rsidRPr="00785D13">
              <w:rPr>
                <w:spacing w:val="-5"/>
                <w:sz w:val="20"/>
              </w:rPr>
              <w:t>4.2% since May 2021</w:t>
            </w:r>
          </w:p>
        </w:tc>
      </w:tr>
      <w:tr w:rsidR="007A53B0" w14:paraId="791959C4" w14:textId="77777777" w:rsidTr="002B2BA3">
        <w:trPr>
          <w:trHeight w:val="309"/>
        </w:trPr>
        <w:tc>
          <w:tcPr>
            <w:tcW w:w="5754" w:type="dxa"/>
          </w:tcPr>
          <w:p w14:paraId="0090D481" w14:textId="313C081F" w:rsidR="007A53B0" w:rsidRDefault="007A53B0" w:rsidP="007A53B0">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Positive</w:t>
            </w:r>
            <w:r w:rsidRPr="00C7327A">
              <w:rPr>
                <w:spacing w:val="-6"/>
                <w:sz w:val="20"/>
                <w:szCs w:val="20"/>
              </w:rPr>
              <w:t xml:space="preserve"> </w:t>
            </w:r>
            <w:r w:rsidRPr="00C7327A">
              <w:rPr>
                <w:sz w:val="20"/>
                <w:szCs w:val="20"/>
              </w:rPr>
              <w:t>Change</w:t>
            </w:r>
            <w:r w:rsidRPr="00C7327A">
              <w:rPr>
                <w:spacing w:val="-5"/>
                <w:sz w:val="20"/>
                <w:szCs w:val="20"/>
              </w:rPr>
              <w:t xml:space="preserve"> </w:t>
            </w:r>
            <w:r w:rsidRPr="00C7327A">
              <w:rPr>
                <w:spacing w:val="-4"/>
                <w:sz w:val="20"/>
                <w:szCs w:val="20"/>
              </w:rPr>
              <w:t>Fund</w:t>
            </w:r>
          </w:p>
        </w:tc>
        <w:tc>
          <w:tcPr>
            <w:tcW w:w="1199" w:type="dxa"/>
          </w:tcPr>
          <w:p w14:paraId="4F350824" w14:textId="5E78CF40"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4.2%</w:t>
            </w:r>
          </w:p>
        </w:tc>
        <w:tc>
          <w:tcPr>
            <w:tcW w:w="1694" w:type="dxa"/>
          </w:tcPr>
          <w:p w14:paraId="40863E85" w14:textId="5BB3B911" w:rsidR="007A53B0" w:rsidRPr="00B81408" w:rsidRDefault="007A53B0" w:rsidP="007A53B0">
            <w:pPr>
              <w:pStyle w:val="TableParagraph"/>
              <w:spacing w:before="40"/>
              <w:ind w:left="10"/>
              <w:jc w:val="center"/>
              <w:rPr>
                <w:spacing w:val="-5"/>
                <w:sz w:val="20"/>
                <w:highlight w:val="lightGray"/>
              </w:rPr>
            </w:pPr>
            <w:r w:rsidRPr="00785D13">
              <w:rPr>
                <w:spacing w:val="-5"/>
                <w:sz w:val="20"/>
              </w:rPr>
              <w:t>-3.5% since May 2021</w:t>
            </w:r>
          </w:p>
        </w:tc>
      </w:tr>
      <w:tr w:rsidR="007A53B0" w14:paraId="7EFCDF90" w14:textId="77777777" w:rsidTr="002B2BA3">
        <w:trPr>
          <w:trHeight w:val="309"/>
        </w:trPr>
        <w:tc>
          <w:tcPr>
            <w:tcW w:w="5754" w:type="dxa"/>
          </w:tcPr>
          <w:p w14:paraId="3951BF64" w14:textId="671064B3" w:rsidR="007A53B0" w:rsidRDefault="007A53B0" w:rsidP="007A53B0">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UK</w:t>
            </w:r>
            <w:r w:rsidRPr="00C7327A">
              <w:rPr>
                <w:spacing w:val="-5"/>
                <w:sz w:val="20"/>
                <w:szCs w:val="20"/>
              </w:rPr>
              <w:t xml:space="preserve"> </w:t>
            </w:r>
            <w:r w:rsidRPr="00C7327A">
              <w:rPr>
                <w:sz w:val="20"/>
                <w:szCs w:val="20"/>
              </w:rPr>
              <w:t>Smaller</w:t>
            </w:r>
            <w:r w:rsidRPr="00C7327A">
              <w:rPr>
                <w:spacing w:val="-5"/>
                <w:sz w:val="20"/>
                <w:szCs w:val="20"/>
              </w:rPr>
              <w:t xml:space="preserve"> </w:t>
            </w:r>
            <w:r w:rsidRPr="00C7327A">
              <w:rPr>
                <w:sz w:val="20"/>
                <w:szCs w:val="20"/>
              </w:rPr>
              <w:t>Companies</w:t>
            </w:r>
            <w:r w:rsidRPr="00C7327A">
              <w:rPr>
                <w:spacing w:val="-4"/>
                <w:sz w:val="20"/>
                <w:szCs w:val="20"/>
              </w:rPr>
              <w:t xml:space="preserve"> Fund</w:t>
            </w:r>
          </w:p>
        </w:tc>
        <w:tc>
          <w:tcPr>
            <w:tcW w:w="1199" w:type="dxa"/>
          </w:tcPr>
          <w:p w14:paraId="10282816" w14:textId="18CFB3D2"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9.2%</w:t>
            </w:r>
          </w:p>
        </w:tc>
        <w:tc>
          <w:tcPr>
            <w:tcW w:w="1694" w:type="dxa"/>
          </w:tcPr>
          <w:p w14:paraId="6F9695C7" w14:textId="73322F51" w:rsidR="007A53B0" w:rsidRPr="00B81408" w:rsidRDefault="007A53B0" w:rsidP="007A53B0">
            <w:pPr>
              <w:pStyle w:val="TableParagraph"/>
              <w:spacing w:before="40"/>
              <w:ind w:left="10"/>
              <w:jc w:val="center"/>
              <w:rPr>
                <w:spacing w:val="-5"/>
                <w:sz w:val="20"/>
                <w:highlight w:val="lightGray"/>
              </w:rPr>
            </w:pPr>
            <w:r w:rsidRPr="00785D13">
              <w:rPr>
                <w:spacing w:val="-5"/>
                <w:sz w:val="20"/>
              </w:rPr>
              <w:t>7.9%</w:t>
            </w:r>
          </w:p>
        </w:tc>
      </w:tr>
      <w:tr w:rsidR="007A53B0" w14:paraId="2F85AD57" w14:textId="77777777" w:rsidTr="002B2BA3">
        <w:trPr>
          <w:trHeight w:val="309"/>
        </w:trPr>
        <w:tc>
          <w:tcPr>
            <w:tcW w:w="5754" w:type="dxa"/>
          </w:tcPr>
          <w:p w14:paraId="38A22453" w14:textId="7AF42641" w:rsidR="007A53B0" w:rsidRDefault="007A53B0" w:rsidP="007A53B0">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6"/>
                <w:sz w:val="20"/>
                <w:szCs w:val="20"/>
              </w:rPr>
              <w:t xml:space="preserve"> </w:t>
            </w:r>
            <w:r w:rsidRPr="00C7327A">
              <w:rPr>
                <w:sz w:val="20"/>
                <w:szCs w:val="20"/>
              </w:rPr>
              <w:t>General</w:t>
            </w:r>
            <w:r w:rsidRPr="00C7327A">
              <w:rPr>
                <w:spacing w:val="-7"/>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Active</w:t>
            </w:r>
            <w:r w:rsidRPr="00C7327A">
              <w:rPr>
                <w:spacing w:val="-7"/>
                <w:sz w:val="20"/>
                <w:szCs w:val="20"/>
              </w:rPr>
              <w:t xml:space="preserve"> </w:t>
            </w:r>
            <w:r w:rsidRPr="00C7327A">
              <w:rPr>
                <w:sz w:val="20"/>
                <w:szCs w:val="20"/>
              </w:rPr>
              <w:t>Diversified</w:t>
            </w:r>
            <w:r w:rsidRPr="00C7327A">
              <w:rPr>
                <w:spacing w:val="-6"/>
                <w:sz w:val="20"/>
                <w:szCs w:val="20"/>
              </w:rPr>
              <w:t xml:space="preserve"> </w:t>
            </w:r>
            <w:r w:rsidRPr="00C7327A">
              <w:rPr>
                <w:sz w:val="20"/>
                <w:szCs w:val="20"/>
              </w:rPr>
              <w:t>Growth</w:t>
            </w:r>
            <w:r w:rsidRPr="00C7327A">
              <w:rPr>
                <w:spacing w:val="-5"/>
                <w:sz w:val="20"/>
                <w:szCs w:val="20"/>
              </w:rPr>
              <w:t xml:space="preserve"> </w:t>
            </w:r>
            <w:r w:rsidRPr="00C7327A">
              <w:rPr>
                <w:spacing w:val="-4"/>
                <w:sz w:val="20"/>
                <w:szCs w:val="20"/>
              </w:rPr>
              <w:t>Fund</w:t>
            </w:r>
          </w:p>
        </w:tc>
        <w:tc>
          <w:tcPr>
            <w:tcW w:w="1199" w:type="dxa"/>
          </w:tcPr>
          <w:p w14:paraId="3F58480A" w14:textId="674E20D2"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6.6%</w:t>
            </w:r>
          </w:p>
        </w:tc>
        <w:tc>
          <w:tcPr>
            <w:tcW w:w="1694" w:type="dxa"/>
          </w:tcPr>
          <w:p w14:paraId="38D070D7" w14:textId="3B4E15CB" w:rsidR="007A53B0" w:rsidRPr="00B81408" w:rsidRDefault="007A53B0" w:rsidP="007A53B0">
            <w:pPr>
              <w:pStyle w:val="TableParagraph"/>
              <w:spacing w:before="40"/>
              <w:ind w:left="10"/>
              <w:jc w:val="center"/>
              <w:rPr>
                <w:spacing w:val="-5"/>
                <w:sz w:val="20"/>
                <w:highlight w:val="lightGray"/>
              </w:rPr>
            </w:pPr>
            <w:r w:rsidRPr="00785D13">
              <w:rPr>
                <w:spacing w:val="-5"/>
                <w:sz w:val="20"/>
              </w:rPr>
              <w:t>2.9%</w:t>
            </w:r>
          </w:p>
        </w:tc>
      </w:tr>
      <w:tr w:rsidR="007A53B0" w14:paraId="1FEC0268" w14:textId="77777777" w:rsidTr="002B2BA3">
        <w:trPr>
          <w:trHeight w:val="309"/>
        </w:trPr>
        <w:tc>
          <w:tcPr>
            <w:tcW w:w="5754" w:type="dxa"/>
          </w:tcPr>
          <w:p w14:paraId="0608A8CC" w14:textId="036C75CA" w:rsidR="007A53B0" w:rsidRDefault="007A53B0" w:rsidP="007A53B0">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4"/>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4"/>
                <w:sz w:val="20"/>
                <w:szCs w:val="20"/>
              </w:rPr>
              <w:t xml:space="preserve"> </w:t>
            </w:r>
            <w:r w:rsidRPr="00C7327A">
              <w:rPr>
                <w:sz w:val="20"/>
                <w:szCs w:val="20"/>
              </w:rPr>
              <w:t>Emerging</w:t>
            </w:r>
            <w:r w:rsidRPr="00C7327A">
              <w:rPr>
                <w:spacing w:val="-4"/>
                <w:sz w:val="20"/>
                <w:szCs w:val="20"/>
              </w:rPr>
              <w:t xml:space="preserve"> </w:t>
            </w:r>
            <w:r w:rsidRPr="00C7327A">
              <w:rPr>
                <w:sz w:val="20"/>
                <w:szCs w:val="20"/>
              </w:rPr>
              <w:t>Markets</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pacing w:val="-4"/>
                <w:sz w:val="20"/>
                <w:szCs w:val="20"/>
              </w:rPr>
              <w:t>Fund</w:t>
            </w:r>
          </w:p>
        </w:tc>
        <w:tc>
          <w:tcPr>
            <w:tcW w:w="1199" w:type="dxa"/>
          </w:tcPr>
          <w:p w14:paraId="15405AC7" w14:textId="3DA6F01A"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11.9%</w:t>
            </w:r>
          </w:p>
        </w:tc>
        <w:tc>
          <w:tcPr>
            <w:tcW w:w="1694" w:type="dxa"/>
          </w:tcPr>
          <w:p w14:paraId="60E72E67" w14:textId="4855E9BD" w:rsidR="007A53B0" w:rsidRPr="00B81408" w:rsidRDefault="007A53B0" w:rsidP="007A53B0">
            <w:pPr>
              <w:pStyle w:val="TableParagraph"/>
              <w:spacing w:before="40"/>
              <w:ind w:left="10"/>
              <w:jc w:val="center"/>
              <w:rPr>
                <w:spacing w:val="-5"/>
                <w:sz w:val="20"/>
                <w:highlight w:val="lightGray"/>
              </w:rPr>
            </w:pPr>
            <w:r w:rsidRPr="00785D13">
              <w:rPr>
                <w:spacing w:val="-5"/>
                <w:sz w:val="20"/>
              </w:rPr>
              <w:t>3.6%</w:t>
            </w:r>
          </w:p>
        </w:tc>
      </w:tr>
      <w:tr w:rsidR="007A53B0" w14:paraId="56423ABC" w14:textId="77777777" w:rsidTr="002B2BA3">
        <w:trPr>
          <w:trHeight w:val="309"/>
        </w:trPr>
        <w:tc>
          <w:tcPr>
            <w:tcW w:w="5754" w:type="dxa"/>
          </w:tcPr>
          <w:p w14:paraId="7356973A" w14:textId="72EF88B1" w:rsidR="007A53B0" w:rsidRDefault="007A53B0" w:rsidP="007A53B0">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Global</w:t>
            </w:r>
            <w:r w:rsidRPr="00C7327A">
              <w:rPr>
                <w:spacing w:val="-6"/>
                <w:sz w:val="20"/>
                <w:szCs w:val="20"/>
              </w:rPr>
              <w:t xml:space="preserve"> </w:t>
            </w:r>
            <w:r w:rsidRPr="00C7327A">
              <w:rPr>
                <w:sz w:val="20"/>
                <w:szCs w:val="20"/>
              </w:rPr>
              <w:t>Fossil</w:t>
            </w:r>
            <w:r w:rsidRPr="00C7327A">
              <w:rPr>
                <w:spacing w:val="-6"/>
                <w:sz w:val="20"/>
                <w:szCs w:val="20"/>
              </w:rPr>
              <w:t xml:space="preserve"> </w:t>
            </w:r>
            <w:r w:rsidRPr="00C7327A">
              <w:rPr>
                <w:sz w:val="20"/>
                <w:szCs w:val="20"/>
              </w:rPr>
              <w:t>Fuel</w:t>
            </w:r>
            <w:r w:rsidRPr="00C7327A">
              <w:rPr>
                <w:spacing w:val="-6"/>
                <w:sz w:val="20"/>
                <w:szCs w:val="20"/>
              </w:rPr>
              <w:t xml:space="preserve"> </w:t>
            </w:r>
            <w:r w:rsidRPr="00C7327A">
              <w:rPr>
                <w:sz w:val="20"/>
                <w:szCs w:val="20"/>
              </w:rPr>
              <w:t>Exclusions</w:t>
            </w:r>
            <w:r w:rsidRPr="00C7327A">
              <w:rPr>
                <w:spacing w:val="-4"/>
                <w:sz w:val="20"/>
                <w:szCs w:val="20"/>
              </w:rPr>
              <w:t xml:space="preserve"> </w:t>
            </w:r>
            <w:r w:rsidRPr="00C7327A">
              <w:rPr>
                <w:sz w:val="20"/>
                <w:szCs w:val="20"/>
              </w:rPr>
              <w:t>Equity</w:t>
            </w:r>
            <w:r w:rsidRPr="00C7327A">
              <w:rPr>
                <w:spacing w:val="-4"/>
                <w:sz w:val="20"/>
                <w:szCs w:val="20"/>
              </w:rPr>
              <w:t xml:space="preserve"> </w:t>
            </w:r>
            <w:r w:rsidRPr="00C7327A">
              <w:rPr>
                <w:sz w:val="20"/>
                <w:szCs w:val="20"/>
              </w:rPr>
              <w:t>Index</w:t>
            </w:r>
            <w:r w:rsidRPr="00C7327A">
              <w:rPr>
                <w:spacing w:val="-5"/>
                <w:sz w:val="20"/>
                <w:szCs w:val="20"/>
              </w:rPr>
              <w:t xml:space="preserve"> </w:t>
            </w:r>
            <w:r w:rsidRPr="00C7327A">
              <w:rPr>
                <w:spacing w:val="-4"/>
                <w:sz w:val="20"/>
                <w:szCs w:val="20"/>
              </w:rPr>
              <w:t>Fund</w:t>
            </w:r>
          </w:p>
        </w:tc>
        <w:tc>
          <w:tcPr>
            <w:tcW w:w="1199" w:type="dxa"/>
          </w:tcPr>
          <w:p w14:paraId="5BF476EB" w14:textId="22F4DEC3"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20.2%</w:t>
            </w:r>
          </w:p>
        </w:tc>
        <w:tc>
          <w:tcPr>
            <w:tcW w:w="1694" w:type="dxa"/>
          </w:tcPr>
          <w:p w14:paraId="4C82F01C" w14:textId="2712B648" w:rsidR="007A53B0" w:rsidRPr="00B81408" w:rsidRDefault="007A53B0" w:rsidP="007A53B0">
            <w:pPr>
              <w:pStyle w:val="TableParagraph"/>
              <w:spacing w:before="40"/>
              <w:ind w:left="10"/>
              <w:jc w:val="center"/>
              <w:rPr>
                <w:spacing w:val="-5"/>
                <w:sz w:val="20"/>
                <w:highlight w:val="lightGray"/>
              </w:rPr>
            </w:pPr>
            <w:r w:rsidRPr="00785D13">
              <w:rPr>
                <w:spacing w:val="-5"/>
                <w:sz w:val="20"/>
              </w:rPr>
              <w:t>10.5% since May 2021</w:t>
            </w:r>
          </w:p>
        </w:tc>
      </w:tr>
      <w:tr w:rsidR="007A53B0" w14:paraId="61A5DB29" w14:textId="77777777" w:rsidTr="002B2BA3">
        <w:trPr>
          <w:trHeight w:val="309"/>
        </w:trPr>
        <w:tc>
          <w:tcPr>
            <w:tcW w:w="5754" w:type="dxa"/>
          </w:tcPr>
          <w:p w14:paraId="0BBE34F4" w14:textId="6A5BE4FC" w:rsidR="007A53B0" w:rsidRDefault="007A53B0" w:rsidP="007A53B0">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Future</w:t>
            </w:r>
            <w:r w:rsidRPr="00C7327A">
              <w:rPr>
                <w:spacing w:val="-6"/>
                <w:sz w:val="20"/>
                <w:szCs w:val="20"/>
              </w:rPr>
              <w:t xml:space="preserve"> </w:t>
            </w:r>
            <w:r w:rsidRPr="00C7327A">
              <w:rPr>
                <w:sz w:val="20"/>
                <w:szCs w:val="20"/>
              </w:rPr>
              <w:t>World</w:t>
            </w:r>
            <w:r w:rsidRPr="00C7327A">
              <w:rPr>
                <w:spacing w:val="-5"/>
                <w:sz w:val="20"/>
                <w:szCs w:val="20"/>
              </w:rPr>
              <w:t xml:space="preserve"> </w:t>
            </w:r>
            <w:r w:rsidRPr="00C7327A">
              <w:rPr>
                <w:sz w:val="20"/>
                <w:szCs w:val="20"/>
              </w:rPr>
              <w:t>Multi-Asset</w:t>
            </w:r>
            <w:r w:rsidRPr="00C7327A">
              <w:rPr>
                <w:spacing w:val="-5"/>
                <w:sz w:val="20"/>
                <w:szCs w:val="20"/>
              </w:rPr>
              <w:t xml:space="preserve"> </w:t>
            </w:r>
            <w:r w:rsidRPr="00C7327A">
              <w:rPr>
                <w:spacing w:val="-4"/>
                <w:sz w:val="20"/>
                <w:szCs w:val="20"/>
              </w:rPr>
              <w:t>Fund</w:t>
            </w:r>
          </w:p>
        </w:tc>
        <w:tc>
          <w:tcPr>
            <w:tcW w:w="1199" w:type="dxa"/>
          </w:tcPr>
          <w:p w14:paraId="1B02263F" w14:textId="13E7C106"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5.7%</w:t>
            </w:r>
          </w:p>
        </w:tc>
        <w:tc>
          <w:tcPr>
            <w:tcW w:w="1694" w:type="dxa"/>
          </w:tcPr>
          <w:p w14:paraId="3C81FBCE" w14:textId="3CE4C6FE" w:rsidR="007A53B0" w:rsidRPr="00B81408" w:rsidRDefault="007A53B0" w:rsidP="007A53B0">
            <w:pPr>
              <w:pStyle w:val="TableParagraph"/>
              <w:spacing w:before="40"/>
              <w:ind w:left="10"/>
              <w:jc w:val="center"/>
              <w:rPr>
                <w:spacing w:val="-5"/>
                <w:sz w:val="20"/>
                <w:highlight w:val="lightGray"/>
              </w:rPr>
            </w:pPr>
            <w:r w:rsidRPr="00785D13">
              <w:rPr>
                <w:spacing w:val="-5"/>
                <w:sz w:val="20"/>
              </w:rPr>
              <w:t>3.4%</w:t>
            </w:r>
          </w:p>
        </w:tc>
      </w:tr>
      <w:tr w:rsidR="007A53B0" w14:paraId="2350C371" w14:textId="77777777" w:rsidTr="002B2BA3">
        <w:trPr>
          <w:trHeight w:val="309"/>
        </w:trPr>
        <w:tc>
          <w:tcPr>
            <w:tcW w:w="5754" w:type="dxa"/>
          </w:tcPr>
          <w:p w14:paraId="4A308F50" w14:textId="626C8CF5" w:rsidR="007A53B0" w:rsidRDefault="007A53B0" w:rsidP="007A53B0">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Global</w:t>
            </w:r>
            <w:r w:rsidRPr="00C7327A">
              <w:rPr>
                <w:spacing w:val="-6"/>
                <w:sz w:val="20"/>
                <w:szCs w:val="20"/>
              </w:rPr>
              <w:t xml:space="preserve"> </w:t>
            </w:r>
            <w:r w:rsidRPr="00C7327A">
              <w:rPr>
                <w:sz w:val="20"/>
                <w:szCs w:val="20"/>
              </w:rPr>
              <w:t>Developed</w:t>
            </w:r>
            <w:r w:rsidRPr="00C7327A">
              <w:rPr>
                <w:spacing w:val="-6"/>
                <w:sz w:val="20"/>
                <w:szCs w:val="20"/>
              </w:rPr>
              <w:t xml:space="preserve"> </w:t>
            </w:r>
            <w:r w:rsidRPr="00C7327A">
              <w:rPr>
                <w:sz w:val="20"/>
                <w:szCs w:val="20"/>
              </w:rPr>
              <w:t>Index</w:t>
            </w:r>
            <w:r w:rsidRPr="00C7327A">
              <w:rPr>
                <w:spacing w:val="-6"/>
                <w:sz w:val="20"/>
                <w:szCs w:val="20"/>
              </w:rPr>
              <w:t xml:space="preserve"> </w:t>
            </w:r>
            <w:r w:rsidRPr="00C7327A">
              <w:rPr>
                <w:sz w:val="20"/>
                <w:szCs w:val="20"/>
              </w:rPr>
              <w:t>Equity</w:t>
            </w:r>
            <w:r w:rsidRPr="00C7327A">
              <w:rPr>
                <w:spacing w:val="-4"/>
                <w:sz w:val="20"/>
                <w:szCs w:val="20"/>
              </w:rPr>
              <w:t xml:space="preserve"> Fund</w:t>
            </w:r>
          </w:p>
        </w:tc>
        <w:tc>
          <w:tcPr>
            <w:tcW w:w="1199" w:type="dxa"/>
          </w:tcPr>
          <w:p w14:paraId="43F6D6CA" w14:textId="2FB2C083"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19.8%</w:t>
            </w:r>
          </w:p>
        </w:tc>
        <w:tc>
          <w:tcPr>
            <w:tcW w:w="1694" w:type="dxa"/>
          </w:tcPr>
          <w:p w14:paraId="6F9ADE58" w14:textId="77902AF1" w:rsidR="007A53B0" w:rsidRPr="00B81408" w:rsidRDefault="007A53B0" w:rsidP="007A53B0">
            <w:pPr>
              <w:pStyle w:val="TableParagraph"/>
              <w:spacing w:before="40"/>
              <w:ind w:left="10"/>
              <w:jc w:val="center"/>
              <w:rPr>
                <w:spacing w:val="-5"/>
                <w:sz w:val="20"/>
                <w:highlight w:val="lightGray"/>
              </w:rPr>
            </w:pPr>
            <w:r w:rsidRPr="00785D13">
              <w:rPr>
                <w:spacing w:val="-5"/>
                <w:sz w:val="20"/>
              </w:rPr>
              <w:t>12.4%</w:t>
            </w:r>
          </w:p>
        </w:tc>
      </w:tr>
      <w:tr w:rsidR="007A53B0" w14:paraId="5DFC13B6" w14:textId="77777777" w:rsidTr="002B2BA3">
        <w:trPr>
          <w:trHeight w:val="309"/>
        </w:trPr>
        <w:tc>
          <w:tcPr>
            <w:tcW w:w="5754" w:type="dxa"/>
          </w:tcPr>
          <w:p w14:paraId="0138DA94" w14:textId="7968850B" w:rsidR="007A53B0" w:rsidRDefault="007A53B0" w:rsidP="007A53B0">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5"/>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Global</w:t>
            </w:r>
            <w:r w:rsidRPr="00C7327A">
              <w:rPr>
                <w:spacing w:val="-5"/>
                <w:sz w:val="20"/>
                <w:szCs w:val="20"/>
              </w:rPr>
              <w:t xml:space="preserve"> </w:t>
            </w:r>
            <w:r w:rsidRPr="00C7327A">
              <w:rPr>
                <w:sz w:val="20"/>
                <w:szCs w:val="20"/>
              </w:rPr>
              <w:t>Real</w:t>
            </w:r>
            <w:r w:rsidRPr="00C7327A">
              <w:rPr>
                <w:spacing w:val="-6"/>
                <w:sz w:val="20"/>
                <w:szCs w:val="20"/>
              </w:rPr>
              <w:t xml:space="preserve"> </w:t>
            </w:r>
            <w:r w:rsidRPr="00C7327A">
              <w:rPr>
                <w:sz w:val="20"/>
                <w:szCs w:val="20"/>
              </w:rPr>
              <w:t>Estate</w:t>
            </w:r>
            <w:r w:rsidRPr="00C7327A">
              <w:rPr>
                <w:spacing w:val="-5"/>
                <w:sz w:val="20"/>
                <w:szCs w:val="20"/>
              </w:rPr>
              <w:t xml:space="preserve"> </w:t>
            </w:r>
            <w:r w:rsidRPr="00C7327A">
              <w:rPr>
                <w:sz w:val="20"/>
                <w:szCs w:val="20"/>
              </w:rPr>
              <w:t>Index</w:t>
            </w:r>
            <w:r w:rsidRPr="00C7327A">
              <w:rPr>
                <w:spacing w:val="-6"/>
                <w:sz w:val="20"/>
                <w:szCs w:val="20"/>
              </w:rPr>
              <w:t xml:space="preserve"> </w:t>
            </w:r>
            <w:r w:rsidRPr="00C7327A">
              <w:rPr>
                <w:sz w:val="20"/>
                <w:szCs w:val="20"/>
              </w:rPr>
              <w:t>Equity</w:t>
            </w:r>
            <w:r w:rsidRPr="00C7327A">
              <w:rPr>
                <w:spacing w:val="-3"/>
                <w:sz w:val="20"/>
                <w:szCs w:val="20"/>
              </w:rPr>
              <w:t xml:space="preserve"> </w:t>
            </w:r>
            <w:r w:rsidRPr="00C7327A">
              <w:rPr>
                <w:spacing w:val="-4"/>
                <w:sz w:val="20"/>
                <w:szCs w:val="20"/>
              </w:rPr>
              <w:t>Fund</w:t>
            </w:r>
          </w:p>
        </w:tc>
        <w:tc>
          <w:tcPr>
            <w:tcW w:w="1199" w:type="dxa"/>
          </w:tcPr>
          <w:p w14:paraId="7D260CA5" w14:textId="70CC5915"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2.1%</w:t>
            </w:r>
          </w:p>
        </w:tc>
        <w:tc>
          <w:tcPr>
            <w:tcW w:w="1694" w:type="dxa"/>
          </w:tcPr>
          <w:p w14:paraId="37C00E94" w14:textId="6A826C71" w:rsidR="007A53B0" w:rsidRPr="00B81408" w:rsidRDefault="007A53B0" w:rsidP="007A53B0">
            <w:pPr>
              <w:pStyle w:val="TableParagraph"/>
              <w:spacing w:before="40"/>
              <w:ind w:left="10"/>
              <w:jc w:val="center"/>
              <w:rPr>
                <w:spacing w:val="-5"/>
                <w:sz w:val="20"/>
                <w:highlight w:val="lightGray"/>
              </w:rPr>
            </w:pPr>
            <w:r w:rsidRPr="00785D13">
              <w:rPr>
                <w:spacing w:val="-5"/>
                <w:sz w:val="20"/>
              </w:rPr>
              <w:t>0.8%</w:t>
            </w:r>
          </w:p>
        </w:tc>
      </w:tr>
      <w:tr w:rsidR="007A53B0" w14:paraId="4F05E4AD" w14:textId="77777777" w:rsidTr="002B2BA3">
        <w:trPr>
          <w:trHeight w:val="309"/>
        </w:trPr>
        <w:tc>
          <w:tcPr>
            <w:tcW w:w="5754" w:type="dxa"/>
          </w:tcPr>
          <w:p w14:paraId="37180571" w14:textId="39C4E25E" w:rsidR="007A53B0" w:rsidRDefault="007A53B0" w:rsidP="007A53B0">
            <w:pPr>
              <w:pStyle w:val="TableParagraph"/>
              <w:spacing w:before="40"/>
              <w:ind w:left="4"/>
              <w:rPr>
                <w:sz w:val="20"/>
              </w:rPr>
            </w:pPr>
            <w:r w:rsidRPr="00C7327A">
              <w:rPr>
                <w:sz w:val="20"/>
                <w:szCs w:val="20"/>
              </w:rPr>
              <w:t>Legal</w:t>
            </w:r>
            <w:r w:rsidRPr="00C7327A">
              <w:rPr>
                <w:spacing w:val="-5"/>
                <w:sz w:val="20"/>
                <w:szCs w:val="20"/>
              </w:rPr>
              <w:t xml:space="preserve"> </w:t>
            </w:r>
            <w:r w:rsidRPr="00C7327A">
              <w:rPr>
                <w:sz w:val="20"/>
                <w:szCs w:val="20"/>
              </w:rPr>
              <w:t>&amp;</w:t>
            </w:r>
            <w:r w:rsidRPr="00C7327A">
              <w:rPr>
                <w:spacing w:val="-4"/>
                <w:sz w:val="20"/>
                <w:szCs w:val="20"/>
              </w:rPr>
              <w:t xml:space="preserve"> </w:t>
            </w:r>
            <w:r w:rsidRPr="00C7327A">
              <w:rPr>
                <w:sz w:val="20"/>
                <w:szCs w:val="20"/>
              </w:rPr>
              <w:t>General</w:t>
            </w:r>
            <w:r w:rsidRPr="00C7327A">
              <w:rPr>
                <w:spacing w:val="-5"/>
                <w:sz w:val="20"/>
                <w:szCs w:val="20"/>
              </w:rPr>
              <w:t xml:space="preserve"> </w:t>
            </w:r>
            <w:proofErr w:type="spellStart"/>
            <w:r w:rsidRPr="00C7327A">
              <w:rPr>
                <w:sz w:val="20"/>
                <w:szCs w:val="20"/>
              </w:rPr>
              <w:t>Mastertrust</w:t>
            </w:r>
            <w:proofErr w:type="spellEnd"/>
            <w:r w:rsidRPr="00C7327A">
              <w:rPr>
                <w:spacing w:val="-4"/>
                <w:sz w:val="20"/>
                <w:szCs w:val="20"/>
              </w:rPr>
              <w:t xml:space="preserve"> </w:t>
            </w:r>
            <w:r w:rsidRPr="00C7327A">
              <w:rPr>
                <w:sz w:val="20"/>
                <w:szCs w:val="20"/>
              </w:rPr>
              <w:t>Short</w:t>
            </w:r>
            <w:r w:rsidRPr="00C7327A">
              <w:rPr>
                <w:spacing w:val="-4"/>
                <w:sz w:val="20"/>
                <w:szCs w:val="20"/>
              </w:rPr>
              <w:t xml:space="preserve"> </w:t>
            </w:r>
            <w:r w:rsidRPr="00C7327A">
              <w:rPr>
                <w:sz w:val="20"/>
                <w:szCs w:val="20"/>
              </w:rPr>
              <w:t>Dated</w:t>
            </w:r>
            <w:r w:rsidRPr="00C7327A">
              <w:rPr>
                <w:spacing w:val="-5"/>
                <w:sz w:val="20"/>
                <w:szCs w:val="20"/>
              </w:rPr>
              <w:t xml:space="preserve"> </w:t>
            </w:r>
            <w:r w:rsidRPr="00C7327A">
              <w:rPr>
                <w:sz w:val="20"/>
                <w:szCs w:val="20"/>
              </w:rPr>
              <w:t>Bond</w:t>
            </w:r>
            <w:r w:rsidRPr="00C7327A">
              <w:rPr>
                <w:spacing w:val="-4"/>
                <w:sz w:val="20"/>
                <w:szCs w:val="20"/>
              </w:rPr>
              <w:t xml:space="preserve"> </w:t>
            </w:r>
            <w:r w:rsidRPr="00C7327A">
              <w:rPr>
                <w:sz w:val="20"/>
                <w:szCs w:val="20"/>
              </w:rPr>
              <w:t>Index</w:t>
            </w:r>
            <w:r w:rsidRPr="00C7327A">
              <w:rPr>
                <w:spacing w:val="-4"/>
                <w:sz w:val="20"/>
                <w:szCs w:val="20"/>
              </w:rPr>
              <w:t xml:space="preserve"> Fund</w:t>
            </w:r>
          </w:p>
        </w:tc>
        <w:tc>
          <w:tcPr>
            <w:tcW w:w="1199" w:type="dxa"/>
          </w:tcPr>
          <w:p w14:paraId="2F9582BD" w14:textId="288727F5"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4.8%</w:t>
            </w:r>
          </w:p>
        </w:tc>
        <w:tc>
          <w:tcPr>
            <w:tcW w:w="1694" w:type="dxa"/>
          </w:tcPr>
          <w:p w14:paraId="15C55977" w14:textId="6414B3F9" w:rsidR="007A53B0" w:rsidRPr="00B81408" w:rsidRDefault="007A53B0" w:rsidP="007A53B0">
            <w:pPr>
              <w:pStyle w:val="TableParagraph"/>
              <w:spacing w:before="40"/>
              <w:ind w:left="10"/>
              <w:jc w:val="center"/>
              <w:rPr>
                <w:spacing w:val="-5"/>
                <w:sz w:val="20"/>
                <w:highlight w:val="lightGray"/>
              </w:rPr>
            </w:pPr>
            <w:r w:rsidRPr="00785D13">
              <w:rPr>
                <w:spacing w:val="-5"/>
                <w:sz w:val="20"/>
              </w:rPr>
              <w:t>1.40%</w:t>
            </w:r>
          </w:p>
        </w:tc>
      </w:tr>
      <w:tr w:rsidR="007A53B0" w14:paraId="410AE9F9" w14:textId="77777777" w:rsidTr="002B2BA3">
        <w:trPr>
          <w:trHeight w:val="309"/>
        </w:trPr>
        <w:tc>
          <w:tcPr>
            <w:tcW w:w="5754" w:type="dxa"/>
          </w:tcPr>
          <w:p w14:paraId="71E05FC8" w14:textId="512D153A" w:rsidR="007A53B0" w:rsidRDefault="007A53B0" w:rsidP="007A53B0">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7"/>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Smaller</w:t>
            </w:r>
            <w:r w:rsidRPr="00C7327A">
              <w:rPr>
                <w:spacing w:val="-6"/>
                <w:sz w:val="20"/>
                <w:szCs w:val="20"/>
              </w:rPr>
              <w:t xml:space="preserve"> </w:t>
            </w:r>
            <w:r w:rsidRPr="00C7327A">
              <w:rPr>
                <w:sz w:val="20"/>
                <w:szCs w:val="20"/>
              </w:rPr>
              <w:t>Companies</w:t>
            </w:r>
            <w:r w:rsidRPr="00C7327A">
              <w:rPr>
                <w:spacing w:val="-4"/>
                <w:sz w:val="20"/>
                <w:szCs w:val="20"/>
              </w:rPr>
              <w:t xml:space="preserve"> </w:t>
            </w:r>
            <w:r w:rsidRPr="00C7327A">
              <w:rPr>
                <w:sz w:val="20"/>
                <w:szCs w:val="20"/>
              </w:rPr>
              <w:t>Index</w:t>
            </w:r>
            <w:r w:rsidRPr="00C7327A">
              <w:rPr>
                <w:spacing w:val="-6"/>
                <w:sz w:val="20"/>
                <w:szCs w:val="20"/>
              </w:rPr>
              <w:t xml:space="preserve"> </w:t>
            </w:r>
            <w:r w:rsidRPr="00C7327A">
              <w:rPr>
                <w:spacing w:val="-4"/>
                <w:sz w:val="20"/>
                <w:szCs w:val="20"/>
              </w:rPr>
              <w:t>Fund</w:t>
            </w:r>
          </w:p>
        </w:tc>
        <w:tc>
          <w:tcPr>
            <w:tcW w:w="1199" w:type="dxa"/>
          </w:tcPr>
          <w:p w14:paraId="47C76FDF" w14:textId="09494CB9" w:rsidR="007A53B0" w:rsidRPr="00B81408" w:rsidRDefault="007A53B0" w:rsidP="007A53B0">
            <w:pPr>
              <w:pStyle w:val="TableParagraph"/>
              <w:spacing w:before="40"/>
              <w:ind w:left="16" w:right="6"/>
              <w:jc w:val="center"/>
              <w:rPr>
                <w:spacing w:val="-5"/>
                <w:sz w:val="20"/>
                <w:highlight w:val="lightGray"/>
              </w:rPr>
            </w:pPr>
            <w:r w:rsidRPr="00785D13">
              <w:rPr>
                <w:spacing w:val="-5"/>
                <w:sz w:val="20"/>
              </w:rPr>
              <w:t>14.9%</w:t>
            </w:r>
          </w:p>
        </w:tc>
        <w:tc>
          <w:tcPr>
            <w:tcW w:w="1694" w:type="dxa"/>
          </w:tcPr>
          <w:p w14:paraId="491B8D5C" w14:textId="5C1112F2" w:rsidR="007A53B0" w:rsidRPr="00B81408" w:rsidRDefault="007A53B0" w:rsidP="007A53B0">
            <w:pPr>
              <w:pStyle w:val="TableParagraph"/>
              <w:spacing w:before="40"/>
              <w:ind w:left="10"/>
              <w:jc w:val="center"/>
              <w:rPr>
                <w:spacing w:val="-5"/>
                <w:sz w:val="20"/>
                <w:highlight w:val="lightGray"/>
              </w:rPr>
            </w:pPr>
            <w:r w:rsidRPr="00785D13">
              <w:rPr>
                <w:spacing w:val="-5"/>
                <w:sz w:val="20"/>
              </w:rPr>
              <w:t>1.5% since March 2022</w:t>
            </w:r>
          </w:p>
        </w:tc>
      </w:tr>
      <w:tr w:rsidR="00CF3D3D" w14:paraId="0F1F8217" w14:textId="77777777" w:rsidTr="002B2BA3">
        <w:trPr>
          <w:trHeight w:val="311"/>
        </w:trPr>
        <w:tc>
          <w:tcPr>
            <w:tcW w:w="5754" w:type="dxa"/>
          </w:tcPr>
          <w:p w14:paraId="503DD506" w14:textId="551D85A3"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AAA-AA-A</w:t>
            </w:r>
            <w:r w:rsidRPr="00C7327A">
              <w:rPr>
                <w:spacing w:val="-4"/>
                <w:sz w:val="20"/>
                <w:szCs w:val="20"/>
              </w:rPr>
              <w:t xml:space="preserve"> </w:t>
            </w:r>
            <w:r w:rsidRPr="00C7327A">
              <w:rPr>
                <w:sz w:val="20"/>
                <w:szCs w:val="20"/>
              </w:rPr>
              <w:t>Corporate</w:t>
            </w:r>
            <w:r w:rsidRPr="00C7327A">
              <w:rPr>
                <w:spacing w:val="-5"/>
                <w:sz w:val="20"/>
                <w:szCs w:val="20"/>
              </w:rPr>
              <w:t xml:space="preserve"> </w:t>
            </w:r>
            <w:r w:rsidRPr="00C7327A">
              <w:rPr>
                <w:sz w:val="20"/>
                <w:szCs w:val="20"/>
              </w:rPr>
              <w:t>Bond</w:t>
            </w:r>
            <w:r w:rsidRPr="00C7327A">
              <w:rPr>
                <w:spacing w:val="-4"/>
                <w:sz w:val="20"/>
                <w:szCs w:val="20"/>
              </w:rPr>
              <w:t xml:space="preserve"> </w:t>
            </w:r>
            <w:r w:rsidRPr="00C7327A">
              <w:rPr>
                <w:sz w:val="20"/>
                <w:szCs w:val="20"/>
              </w:rPr>
              <w:t>-</w:t>
            </w:r>
            <w:r w:rsidRPr="00C7327A">
              <w:rPr>
                <w:spacing w:val="-5"/>
                <w:sz w:val="20"/>
                <w:szCs w:val="20"/>
              </w:rPr>
              <w:t xml:space="preserve"> </w:t>
            </w:r>
            <w:r w:rsidRPr="00C7327A">
              <w:rPr>
                <w:sz w:val="20"/>
                <w:szCs w:val="20"/>
              </w:rPr>
              <w:t>All</w:t>
            </w:r>
            <w:r w:rsidRPr="00C7327A">
              <w:rPr>
                <w:spacing w:val="-5"/>
                <w:sz w:val="20"/>
                <w:szCs w:val="20"/>
              </w:rPr>
              <w:t xml:space="preserve"> </w:t>
            </w:r>
            <w:r w:rsidRPr="00C7327A">
              <w:rPr>
                <w:sz w:val="20"/>
                <w:szCs w:val="20"/>
              </w:rPr>
              <w:t>Stocks</w:t>
            </w:r>
            <w:r w:rsidRPr="00C7327A">
              <w:rPr>
                <w:spacing w:val="-3"/>
                <w:sz w:val="20"/>
                <w:szCs w:val="20"/>
              </w:rPr>
              <w:t xml:space="preserve"> </w:t>
            </w:r>
            <w:r w:rsidRPr="00C7327A">
              <w:rPr>
                <w:sz w:val="20"/>
                <w:szCs w:val="20"/>
              </w:rPr>
              <w:t>-</w:t>
            </w:r>
            <w:r w:rsidRPr="00C7327A">
              <w:rPr>
                <w:spacing w:val="-5"/>
                <w:sz w:val="20"/>
                <w:szCs w:val="20"/>
              </w:rPr>
              <w:t xml:space="preserve"> </w:t>
            </w:r>
            <w:r w:rsidRPr="00C7327A">
              <w:rPr>
                <w:sz w:val="20"/>
                <w:szCs w:val="20"/>
              </w:rPr>
              <w:t>Index</w:t>
            </w:r>
            <w:r w:rsidRPr="00C7327A">
              <w:rPr>
                <w:spacing w:val="-5"/>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199" w:type="dxa"/>
          </w:tcPr>
          <w:p w14:paraId="6F223360" w14:textId="035ED0E7"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0.9%</w:t>
            </w:r>
          </w:p>
        </w:tc>
        <w:tc>
          <w:tcPr>
            <w:tcW w:w="1694" w:type="dxa"/>
          </w:tcPr>
          <w:p w14:paraId="0E19CECF" w14:textId="6780E417" w:rsidR="00CF3D3D" w:rsidRPr="00B81408" w:rsidRDefault="00CF3D3D" w:rsidP="00CF3D3D">
            <w:pPr>
              <w:pStyle w:val="TableParagraph"/>
              <w:spacing w:before="40"/>
              <w:ind w:left="10" w:right="1"/>
              <w:jc w:val="center"/>
              <w:rPr>
                <w:sz w:val="20"/>
                <w:highlight w:val="lightGray"/>
              </w:rPr>
            </w:pPr>
            <w:r w:rsidRPr="00785D13">
              <w:rPr>
                <w:sz w:val="20"/>
              </w:rPr>
              <w:t>-1.6%</w:t>
            </w:r>
          </w:p>
        </w:tc>
      </w:tr>
      <w:tr w:rsidR="00CF3D3D" w14:paraId="1DC4C998" w14:textId="77777777" w:rsidTr="002B2BA3">
        <w:trPr>
          <w:trHeight w:val="311"/>
        </w:trPr>
        <w:tc>
          <w:tcPr>
            <w:tcW w:w="5754" w:type="dxa"/>
          </w:tcPr>
          <w:p w14:paraId="36120EF2" w14:textId="689CA3BE" w:rsidR="00CF3D3D" w:rsidRDefault="00CF3D3D" w:rsidP="00CF3D3D">
            <w:pPr>
              <w:pStyle w:val="TableParagraph"/>
              <w:spacing w:before="40"/>
              <w:ind w:left="4"/>
              <w:rPr>
                <w:sz w:val="20"/>
              </w:rPr>
            </w:pPr>
            <w:r w:rsidRPr="00C7327A">
              <w:rPr>
                <w:sz w:val="20"/>
                <w:szCs w:val="20"/>
              </w:rPr>
              <w:t>L&amp;G</w:t>
            </w:r>
            <w:r w:rsidRPr="00C7327A">
              <w:rPr>
                <w:spacing w:val="-2"/>
                <w:sz w:val="20"/>
                <w:szCs w:val="20"/>
              </w:rPr>
              <w:t xml:space="preserve"> </w:t>
            </w:r>
            <w:r w:rsidRPr="00C7327A">
              <w:rPr>
                <w:sz w:val="20"/>
                <w:szCs w:val="20"/>
              </w:rPr>
              <w:t>PMC</w:t>
            </w:r>
            <w:r w:rsidRPr="00C7327A">
              <w:rPr>
                <w:spacing w:val="-1"/>
                <w:sz w:val="20"/>
                <w:szCs w:val="20"/>
              </w:rPr>
              <w:t xml:space="preserve"> </w:t>
            </w:r>
            <w:r w:rsidRPr="00C7327A">
              <w:rPr>
                <w:sz w:val="20"/>
                <w:szCs w:val="20"/>
              </w:rPr>
              <w:t>Cash</w:t>
            </w:r>
            <w:r w:rsidRPr="00C7327A">
              <w:rPr>
                <w:spacing w:val="-2"/>
                <w:sz w:val="20"/>
                <w:szCs w:val="20"/>
              </w:rPr>
              <w:t xml:space="preserve"> </w:t>
            </w:r>
            <w:r w:rsidRPr="00C7327A">
              <w:rPr>
                <w:sz w:val="20"/>
                <w:szCs w:val="20"/>
              </w:rPr>
              <w:t>Fund</w:t>
            </w:r>
            <w:r w:rsidRPr="00C7327A">
              <w:rPr>
                <w:spacing w:val="-1"/>
                <w:sz w:val="20"/>
                <w:szCs w:val="20"/>
              </w:rPr>
              <w:t xml:space="preserve"> </w:t>
            </w:r>
            <w:r w:rsidRPr="00C7327A">
              <w:rPr>
                <w:spacing w:val="-10"/>
                <w:sz w:val="20"/>
                <w:szCs w:val="20"/>
              </w:rPr>
              <w:t>3</w:t>
            </w:r>
          </w:p>
        </w:tc>
        <w:tc>
          <w:tcPr>
            <w:tcW w:w="1199" w:type="dxa"/>
          </w:tcPr>
          <w:p w14:paraId="6DD42EE1" w14:textId="56BB2CB5"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5.2%</w:t>
            </w:r>
          </w:p>
        </w:tc>
        <w:tc>
          <w:tcPr>
            <w:tcW w:w="1694" w:type="dxa"/>
          </w:tcPr>
          <w:p w14:paraId="00176D32" w14:textId="65AEFA3D" w:rsidR="00CF3D3D" w:rsidRPr="00B81408" w:rsidRDefault="00CF3D3D" w:rsidP="00CF3D3D">
            <w:pPr>
              <w:pStyle w:val="TableParagraph"/>
              <w:spacing w:before="40"/>
              <w:ind w:left="10" w:right="1"/>
              <w:jc w:val="center"/>
              <w:rPr>
                <w:sz w:val="20"/>
                <w:highlight w:val="lightGray"/>
              </w:rPr>
            </w:pPr>
            <w:r w:rsidRPr="00785D13">
              <w:rPr>
                <w:sz w:val="20"/>
              </w:rPr>
              <w:t>2.3%</w:t>
            </w:r>
          </w:p>
        </w:tc>
      </w:tr>
      <w:tr w:rsidR="00CF3D3D" w14:paraId="797584E8" w14:textId="77777777" w:rsidTr="002B2BA3">
        <w:trPr>
          <w:trHeight w:val="311"/>
        </w:trPr>
        <w:tc>
          <w:tcPr>
            <w:tcW w:w="5754" w:type="dxa"/>
          </w:tcPr>
          <w:p w14:paraId="2B493B86" w14:textId="5C428E95"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Ethical</w:t>
            </w:r>
            <w:r w:rsidRPr="00C7327A">
              <w:rPr>
                <w:spacing w:val="-5"/>
                <w:sz w:val="20"/>
                <w:szCs w:val="20"/>
              </w:rPr>
              <w:t xml:space="preserve"> </w:t>
            </w:r>
            <w:r w:rsidRPr="00C7327A">
              <w:rPr>
                <w:sz w:val="20"/>
                <w:szCs w:val="20"/>
              </w:rPr>
              <w:t>Global</w:t>
            </w:r>
            <w:r w:rsidRPr="00C7327A">
              <w:rPr>
                <w:spacing w:val="-4"/>
                <w:sz w:val="20"/>
                <w:szCs w:val="20"/>
              </w:rPr>
              <w:t xml:space="preserve"> </w:t>
            </w:r>
            <w:r w:rsidRPr="00C7327A">
              <w:rPr>
                <w:sz w:val="20"/>
                <w:szCs w:val="20"/>
              </w:rPr>
              <w:t>Index</w:t>
            </w:r>
            <w:r w:rsidRPr="00C7327A">
              <w:rPr>
                <w:spacing w:val="-5"/>
                <w:sz w:val="20"/>
                <w:szCs w:val="20"/>
              </w:rPr>
              <w:t xml:space="preserve"> </w:t>
            </w:r>
            <w:r w:rsidRPr="00C7327A">
              <w:rPr>
                <w:sz w:val="20"/>
                <w:szCs w:val="20"/>
              </w:rPr>
              <w:t>Equity</w:t>
            </w:r>
            <w:r w:rsidRPr="00C7327A">
              <w:rPr>
                <w:spacing w:val="-3"/>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199" w:type="dxa"/>
          </w:tcPr>
          <w:p w14:paraId="337D5B0C" w14:textId="04C2D1E0"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19.5%</w:t>
            </w:r>
          </w:p>
        </w:tc>
        <w:tc>
          <w:tcPr>
            <w:tcW w:w="1694" w:type="dxa"/>
          </w:tcPr>
          <w:p w14:paraId="6B1AAD41" w14:textId="40FA3E70" w:rsidR="00CF3D3D" w:rsidRPr="00B81408" w:rsidRDefault="00CF3D3D" w:rsidP="00CF3D3D">
            <w:pPr>
              <w:pStyle w:val="TableParagraph"/>
              <w:spacing w:before="40"/>
              <w:ind w:left="10" w:right="1"/>
              <w:jc w:val="center"/>
              <w:rPr>
                <w:sz w:val="20"/>
                <w:highlight w:val="lightGray"/>
              </w:rPr>
            </w:pPr>
            <w:r w:rsidRPr="00785D13">
              <w:rPr>
                <w:sz w:val="20"/>
              </w:rPr>
              <w:t>12.6%</w:t>
            </w:r>
          </w:p>
        </w:tc>
      </w:tr>
      <w:tr w:rsidR="00CF3D3D" w14:paraId="3063DDD6" w14:textId="77777777" w:rsidTr="002B2BA3">
        <w:trPr>
          <w:trHeight w:val="311"/>
        </w:trPr>
        <w:tc>
          <w:tcPr>
            <w:tcW w:w="5754" w:type="dxa"/>
          </w:tcPr>
          <w:p w14:paraId="31BFDF07" w14:textId="0064CCD0" w:rsidR="00CF3D3D" w:rsidRDefault="00CF3D3D" w:rsidP="00CF3D3D">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2"/>
                <w:sz w:val="20"/>
                <w:szCs w:val="20"/>
              </w:rPr>
              <w:t xml:space="preserve"> </w:t>
            </w:r>
            <w:r w:rsidRPr="00C7327A">
              <w:rPr>
                <w:sz w:val="20"/>
                <w:szCs w:val="20"/>
              </w:rPr>
              <w:t>Future</w:t>
            </w:r>
            <w:r w:rsidRPr="00C7327A">
              <w:rPr>
                <w:spacing w:val="-4"/>
                <w:sz w:val="20"/>
                <w:szCs w:val="20"/>
              </w:rPr>
              <w:t xml:space="preserve"> </w:t>
            </w:r>
            <w:r w:rsidRPr="00C7327A">
              <w:rPr>
                <w:sz w:val="20"/>
                <w:szCs w:val="20"/>
              </w:rPr>
              <w:t>World</w:t>
            </w:r>
            <w:r w:rsidRPr="00C7327A">
              <w:rPr>
                <w:spacing w:val="-3"/>
                <w:sz w:val="20"/>
                <w:szCs w:val="20"/>
              </w:rPr>
              <w:t xml:space="preserve"> </w:t>
            </w:r>
            <w:r w:rsidRPr="00C7327A">
              <w:rPr>
                <w:sz w:val="20"/>
                <w:szCs w:val="20"/>
              </w:rPr>
              <w:t>Fund</w:t>
            </w:r>
            <w:r w:rsidRPr="00C7327A">
              <w:rPr>
                <w:spacing w:val="-2"/>
                <w:sz w:val="20"/>
                <w:szCs w:val="20"/>
              </w:rPr>
              <w:t xml:space="preserve"> </w:t>
            </w:r>
            <w:r w:rsidRPr="00C7327A">
              <w:rPr>
                <w:spacing w:val="-10"/>
                <w:sz w:val="20"/>
                <w:szCs w:val="20"/>
              </w:rPr>
              <w:t>3</w:t>
            </w:r>
          </w:p>
        </w:tc>
        <w:tc>
          <w:tcPr>
            <w:tcW w:w="1199" w:type="dxa"/>
          </w:tcPr>
          <w:p w14:paraId="28DBEA0F" w14:textId="5B3A3424"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12.8%</w:t>
            </w:r>
          </w:p>
        </w:tc>
        <w:tc>
          <w:tcPr>
            <w:tcW w:w="1694" w:type="dxa"/>
          </w:tcPr>
          <w:p w14:paraId="17AF051D" w14:textId="62EF20AB" w:rsidR="00CF3D3D" w:rsidRPr="00B81408" w:rsidRDefault="00CF3D3D" w:rsidP="00CF3D3D">
            <w:pPr>
              <w:pStyle w:val="TableParagraph"/>
              <w:spacing w:before="40"/>
              <w:ind w:left="10" w:right="1"/>
              <w:jc w:val="center"/>
              <w:rPr>
                <w:sz w:val="20"/>
                <w:highlight w:val="lightGray"/>
              </w:rPr>
            </w:pPr>
            <w:r w:rsidRPr="00785D13">
              <w:rPr>
                <w:sz w:val="20"/>
              </w:rPr>
              <w:t>9.1%</w:t>
            </w:r>
          </w:p>
        </w:tc>
      </w:tr>
      <w:tr w:rsidR="00CF3D3D" w14:paraId="4E05EF0F" w14:textId="77777777" w:rsidTr="002B2BA3">
        <w:trPr>
          <w:trHeight w:val="311"/>
        </w:trPr>
        <w:tc>
          <w:tcPr>
            <w:tcW w:w="5754" w:type="dxa"/>
          </w:tcPr>
          <w:p w14:paraId="02914B37" w14:textId="36120382"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4"/>
                <w:sz w:val="20"/>
                <w:szCs w:val="20"/>
              </w:rPr>
              <w:t xml:space="preserve"> </w:t>
            </w:r>
            <w:r w:rsidRPr="00C7327A">
              <w:rPr>
                <w:sz w:val="20"/>
                <w:szCs w:val="20"/>
              </w:rPr>
              <w:t>Global</w:t>
            </w:r>
            <w:r w:rsidRPr="00C7327A">
              <w:rPr>
                <w:spacing w:val="-5"/>
                <w:sz w:val="20"/>
                <w:szCs w:val="20"/>
              </w:rPr>
              <w:t xml:space="preserve"> </w:t>
            </w:r>
            <w:r w:rsidRPr="00C7327A">
              <w:rPr>
                <w:sz w:val="20"/>
                <w:szCs w:val="20"/>
              </w:rPr>
              <w:t>Diversified</w:t>
            </w:r>
            <w:r w:rsidRPr="00C7327A">
              <w:rPr>
                <w:spacing w:val="-5"/>
                <w:sz w:val="20"/>
                <w:szCs w:val="20"/>
              </w:rPr>
              <w:t xml:space="preserve"> </w:t>
            </w:r>
            <w:r w:rsidRPr="00C7327A">
              <w:rPr>
                <w:sz w:val="20"/>
                <w:szCs w:val="20"/>
              </w:rPr>
              <w:t>Credit</w:t>
            </w:r>
            <w:r w:rsidRPr="00C7327A">
              <w:rPr>
                <w:spacing w:val="-4"/>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199" w:type="dxa"/>
          </w:tcPr>
          <w:p w14:paraId="1AFF1D0D" w14:textId="0AC526ED"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6.9%</w:t>
            </w:r>
          </w:p>
        </w:tc>
        <w:tc>
          <w:tcPr>
            <w:tcW w:w="1694" w:type="dxa"/>
          </w:tcPr>
          <w:p w14:paraId="480A4BAC" w14:textId="48730DAA" w:rsidR="00CF3D3D" w:rsidRPr="00B81408" w:rsidRDefault="00CF3D3D" w:rsidP="00CF3D3D">
            <w:pPr>
              <w:pStyle w:val="TableParagraph"/>
              <w:spacing w:before="40"/>
              <w:ind w:left="10" w:right="1"/>
              <w:jc w:val="center"/>
              <w:rPr>
                <w:sz w:val="20"/>
                <w:highlight w:val="lightGray"/>
              </w:rPr>
            </w:pPr>
            <w:r w:rsidRPr="00785D13">
              <w:rPr>
                <w:sz w:val="20"/>
              </w:rPr>
              <w:t>2.9% since April 2022</w:t>
            </w:r>
          </w:p>
        </w:tc>
      </w:tr>
      <w:tr w:rsidR="00CF3D3D" w14:paraId="17B1F612" w14:textId="77777777" w:rsidTr="002B2BA3">
        <w:trPr>
          <w:trHeight w:val="311"/>
        </w:trPr>
        <w:tc>
          <w:tcPr>
            <w:tcW w:w="5754" w:type="dxa"/>
          </w:tcPr>
          <w:p w14:paraId="7BCAB1F2" w14:textId="6C1D51B1"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HSBC</w:t>
            </w:r>
            <w:r w:rsidRPr="00C7327A">
              <w:rPr>
                <w:spacing w:val="-3"/>
                <w:sz w:val="20"/>
                <w:szCs w:val="20"/>
              </w:rPr>
              <w:t xml:space="preserve"> </w:t>
            </w:r>
            <w:r w:rsidRPr="00C7327A">
              <w:rPr>
                <w:sz w:val="20"/>
                <w:szCs w:val="20"/>
              </w:rPr>
              <w:t>Islamic</w:t>
            </w:r>
            <w:r w:rsidRPr="00C7327A">
              <w:rPr>
                <w:spacing w:val="-3"/>
                <w:sz w:val="20"/>
                <w:szCs w:val="20"/>
              </w:rPr>
              <w:t xml:space="preserve"> </w:t>
            </w:r>
            <w:r w:rsidRPr="00C7327A">
              <w:rPr>
                <w:sz w:val="20"/>
                <w:szCs w:val="20"/>
              </w:rPr>
              <w:t>Global</w:t>
            </w:r>
            <w:r w:rsidRPr="00C7327A">
              <w:rPr>
                <w:spacing w:val="-5"/>
                <w:sz w:val="20"/>
                <w:szCs w:val="20"/>
              </w:rPr>
              <w:t xml:space="preserve"> </w:t>
            </w:r>
            <w:r w:rsidRPr="00C7327A">
              <w:rPr>
                <w:sz w:val="20"/>
                <w:szCs w:val="20"/>
              </w:rPr>
              <w:t>Equity</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199" w:type="dxa"/>
          </w:tcPr>
          <w:p w14:paraId="2A198B33" w14:textId="00E01C1C"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30.0%</w:t>
            </w:r>
          </w:p>
        </w:tc>
        <w:tc>
          <w:tcPr>
            <w:tcW w:w="1694" w:type="dxa"/>
          </w:tcPr>
          <w:p w14:paraId="30FDE7CA" w14:textId="30A3207C" w:rsidR="00CF3D3D" w:rsidRPr="00B81408" w:rsidRDefault="00CF3D3D" w:rsidP="00CF3D3D">
            <w:pPr>
              <w:pStyle w:val="TableParagraph"/>
              <w:spacing w:before="40"/>
              <w:ind w:left="10" w:right="1"/>
              <w:jc w:val="center"/>
              <w:rPr>
                <w:sz w:val="20"/>
                <w:highlight w:val="lightGray"/>
              </w:rPr>
            </w:pPr>
            <w:r w:rsidRPr="00785D13">
              <w:rPr>
                <w:sz w:val="20"/>
              </w:rPr>
              <w:t>16.9%</w:t>
            </w:r>
          </w:p>
        </w:tc>
      </w:tr>
      <w:tr w:rsidR="00CF3D3D" w14:paraId="1AB9E6C5" w14:textId="77777777" w:rsidTr="002B2BA3">
        <w:trPr>
          <w:trHeight w:val="311"/>
        </w:trPr>
        <w:tc>
          <w:tcPr>
            <w:tcW w:w="5754" w:type="dxa"/>
          </w:tcPr>
          <w:p w14:paraId="5F6947F9" w14:textId="3BD3D5C2"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Janus</w:t>
            </w:r>
            <w:r w:rsidRPr="00C7327A">
              <w:rPr>
                <w:spacing w:val="-4"/>
                <w:sz w:val="20"/>
                <w:szCs w:val="20"/>
              </w:rPr>
              <w:t xml:space="preserve"> </w:t>
            </w:r>
            <w:r w:rsidRPr="00C7327A">
              <w:rPr>
                <w:sz w:val="20"/>
                <w:szCs w:val="20"/>
              </w:rPr>
              <w:t>Henderson</w:t>
            </w:r>
            <w:r w:rsidRPr="00C7327A">
              <w:rPr>
                <w:spacing w:val="-4"/>
                <w:sz w:val="20"/>
                <w:szCs w:val="20"/>
              </w:rPr>
              <w:t xml:space="preserve"> </w:t>
            </w:r>
            <w:r w:rsidRPr="00C7327A">
              <w:rPr>
                <w:sz w:val="20"/>
                <w:szCs w:val="20"/>
              </w:rPr>
              <w:t>Fixed</w:t>
            </w:r>
            <w:r w:rsidRPr="00C7327A">
              <w:rPr>
                <w:spacing w:val="-4"/>
                <w:sz w:val="20"/>
                <w:szCs w:val="20"/>
              </w:rPr>
              <w:t xml:space="preserve"> </w:t>
            </w:r>
            <w:r w:rsidRPr="00C7327A">
              <w:rPr>
                <w:sz w:val="20"/>
                <w:szCs w:val="20"/>
              </w:rPr>
              <w:t>Interest</w:t>
            </w:r>
            <w:r w:rsidRPr="00C7327A">
              <w:rPr>
                <w:spacing w:val="-5"/>
                <w:sz w:val="20"/>
                <w:szCs w:val="20"/>
              </w:rPr>
              <w:t xml:space="preserve"> </w:t>
            </w:r>
            <w:r w:rsidRPr="00C7327A">
              <w:rPr>
                <w:sz w:val="20"/>
                <w:szCs w:val="20"/>
              </w:rPr>
              <w:t>Monthly</w:t>
            </w:r>
            <w:r w:rsidRPr="00C7327A">
              <w:rPr>
                <w:spacing w:val="-3"/>
                <w:sz w:val="20"/>
                <w:szCs w:val="20"/>
              </w:rPr>
              <w:t xml:space="preserve"> </w:t>
            </w:r>
            <w:r w:rsidRPr="00C7327A">
              <w:rPr>
                <w:sz w:val="20"/>
                <w:szCs w:val="20"/>
              </w:rPr>
              <w:t>Income</w:t>
            </w:r>
            <w:r w:rsidRPr="00C7327A">
              <w:rPr>
                <w:spacing w:val="-5"/>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199" w:type="dxa"/>
          </w:tcPr>
          <w:p w14:paraId="64FAF9F1" w14:textId="7D22055E"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3.9%</w:t>
            </w:r>
          </w:p>
        </w:tc>
        <w:tc>
          <w:tcPr>
            <w:tcW w:w="1694" w:type="dxa"/>
          </w:tcPr>
          <w:p w14:paraId="0B536E44" w14:textId="1D34E811" w:rsidR="00CF3D3D" w:rsidRPr="00B81408" w:rsidRDefault="00CF3D3D" w:rsidP="00CF3D3D">
            <w:pPr>
              <w:pStyle w:val="TableParagraph"/>
              <w:spacing w:before="40"/>
              <w:ind w:left="10" w:right="1"/>
              <w:jc w:val="center"/>
              <w:rPr>
                <w:sz w:val="20"/>
                <w:highlight w:val="lightGray"/>
              </w:rPr>
            </w:pPr>
            <w:r w:rsidRPr="00785D13">
              <w:rPr>
                <w:sz w:val="20"/>
              </w:rPr>
              <w:t>0.2%</w:t>
            </w:r>
          </w:p>
        </w:tc>
      </w:tr>
      <w:tr w:rsidR="00CF3D3D" w14:paraId="1CCCC043" w14:textId="77777777" w:rsidTr="002B2BA3">
        <w:trPr>
          <w:trHeight w:val="311"/>
        </w:trPr>
        <w:tc>
          <w:tcPr>
            <w:tcW w:w="5754" w:type="dxa"/>
          </w:tcPr>
          <w:p w14:paraId="3F25463F" w14:textId="48BC4107"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Multi-Asset</w:t>
            </w:r>
            <w:r w:rsidRPr="00C7327A">
              <w:rPr>
                <w:spacing w:val="-4"/>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199" w:type="dxa"/>
          </w:tcPr>
          <w:p w14:paraId="1404A1E0" w14:textId="11B78841"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5.7%</w:t>
            </w:r>
          </w:p>
        </w:tc>
        <w:tc>
          <w:tcPr>
            <w:tcW w:w="1694" w:type="dxa"/>
          </w:tcPr>
          <w:p w14:paraId="10C2D0B1" w14:textId="48F2E24E" w:rsidR="00CF3D3D" w:rsidRPr="00B81408" w:rsidRDefault="00CF3D3D" w:rsidP="00CF3D3D">
            <w:pPr>
              <w:pStyle w:val="TableParagraph"/>
              <w:spacing w:before="40"/>
              <w:ind w:left="10" w:right="1"/>
              <w:jc w:val="center"/>
              <w:rPr>
                <w:sz w:val="20"/>
                <w:highlight w:val="lightGray"/>
              </w:rPr>
            </w:pPr>
            <w:r w:rsidRPr="00785D13">
              <w:rPr>
                <w:sz w:val="20"/>
              </w:rPr>
              <w:t>3.3%</w:t>
            </w:r>
          </w:p>
        </w:tc>
      </w:tr>
      <w:tr w:rsidR="00CF3D3D" w14:paraId="7BFC2039" w14:textId="77777777" w:rsidTr="002B2BA3">
        <w:trPr>
          <w:trHeight w:val="311"/>
        </w:trPr>
        <w:tc>
          <w:tcPr>
            <w:tcW w:w="5754" w:type="dxa"/>
          </w:tcPr>
          <w:p w14:paraId="034F030C" w14:textId="7917834E"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Future</w:t>
            </w:r>
            <w:r w:rsidRPr="00C7327A">
              <w:rPr>
                <w:spacing w:val="-5"/>
                <w:sz w:val="20"/>
                <w:szCs w:val="20"/>
              </w:rPr>
              <w:t xml:space="preserve"> </w:t>
            </w:r>
            <w:r w:rsidRPr="00C7327A">
              <w:rPr>
                <w:sz w:val="20"/>
                <w:szCs w:val="20"/>
              </w:rPr>
              <w:t>World</w:t>
            </w:r>
            <w:r w:rsidRPr="00C7327A">
              <w:rPr>
                <w:spacing w:val="-4"/>
                <w:sz w:val="20"/>
                <w:szCs w:val="20"/>
              </w:rPr>
              <w:t xml:space="preserve"> </w:t>
            </w:r>
            <w:r w:rsidRPr="00C7327A">
              <w:rPr>
                <w:sz w:val="20"/>
                <w:szCs w:val="20"/>
              </w:rPr>
              <w:t>Annuity</w:t>
            </w:r>
            <w:r w:rsidRPr="00C7327A">
              <w:rPr>
                <w:spacing w:val="-3"/>
                <w:sz w:val="20"/>
                <w:szCs w:val="20"/>
              </w:rPr>
              <w:t xml:space="preserve"> </w:t>
            </w:r>
            <w:r w:rsidRPr="00C7327A">
              <w:rPr>
                <w:sz w:val="20"/>
                <w:szCs w:val="20"/>
              </w:rPr>
              <w:t>Aware</w:t>
            </w:r>
            <w:r w:rsidRPr="00C7327A">
              <w:rPr>
                <w:spacing w:val="-5"/>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199" w:type="dxa"/>
          </w:tcPr>
          <w:p w14:paraId="093488E7" w14:textId="28E0A91F"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-3.5%</w:t>
            </w:r>
          </w:p>
        </w:tc>
        <w:tc>
          <w:tcPr>
            <w:tcW w:w="1694" w:type="dxa"/>
          </w:tcPr>
          <w:p w14:paraId="3F74B979" w14:textId="4DC4DB7C" w:rsidR="00CF3D3D" w:rsidRPr="00B81408" w:rsidRDefault="00CF3D3D" w:rsidP="00CF3D3D">
            <w:pPr>
              <w:pStyle w:val="TableParagraph"/>
              <w:spacing w:before="40"/>
              <w:ind w:left="10" w:right="1"/>
              <w:jc w:val="center"/>
              <w:rPr>
                <w:sz w:val="20"/>
                <w:highlight w:val="lightGray"/>
              </w:rPr>
            </w:pPr>
            <w:r w:rsidRPr="00785D13">
              <w:rPr>
                <w:sz w:val="20"/>
              </w:rPr>
              <w:t>-5.0%</w:t>
            </w:r>
          </w:p>
        </w:tc>
      </w:tr>
      <w:tr w:rsidR="00CF3D3D" w14:paraId="3D745BCD" w14:textId="77777777" w:rsidTr="002B2BA3">
        <w:trPr>
          <w:trHeight w:val="311"/>
        </w:trPr>
        <w:tc>
          <w:tcPr>
            <w:tcW w:w="5754" w:type="dxa"/>
          </w:tcPr>
          <w:p w14:paraId="53B5FD97" w14:textId="16153868" w:rsidR="00CF3D3D" w:rsidRDefault="00CF3D3D" w:rsidP="00CF3D3D">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Sustainable</w:t>
            </w:r>
            <w:r w:rsidRPr="00C7327A">
              <w:rPr>
                <w:spacing w:val="-5"/>
                <w:sz w:val="20"/>
                <w:szCs w:val="20"/>
              </w:rPr>
              <w:t xml:space="preserve"> </w:t>
            </w:r>
            <w:r w:rsidRPr="00C7327A">
              <w:rPr>
                <w:sz w:val="20"/>
                <w:szCs w:val="20"/>
              </w:rPr>
              <w:t>Property</w:t>
            </w:r>
            <w:r w:rsidRPr="00C7327A">
              <w:rPr>
                <w:spacing w:val="-3"/>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199" w:type="dxa"/>
          </w:tcPr>
          <w:p w14:paraId="07CE7DA0" w14:textId="1424F9FE"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4.2%</w:t>
            </w:r>
          </w:p>
        </w:tc>
        <w:tc>
          <w:tcPr>
            <w:tcW w:w="1694" w:type="dxa"/>
          </w:tcPr>
          <w:p w14:paraId="17B60898" w14:textId="699745DC" w:rsidR="00CF3D3D" w:rsidRPr="00B81408" w:rsidRDefault="00CF3D3D" w:rsidP="00CF3D3D">
            <w:pPr>
              <w:pStyle w:val="TableParagraph"/>
              <w:spacing w:before="40"/>
              <w:ind w:left="10" w:right="1"/>
              <w:jc w:val="center"/>
              <w:rPr>
                <w:sz w:val="20"/>
                <w:highlight w:val="lightGray"/>
              </w:rPr>
            </w:pPr>
            <w:r w:rsidRPr="00785D13">
              <w:rPr>
                <w:sz w:val="20"/>
              </w:rPr>
              <w:t>3.1%</w:t>
            </w:r>
          </w:p>
        </w:tc>
      </w:tr>
      <w:tr w:rsidR="00CF3D3D" w14:paraId="1E957920" w14:textId="77777777" w:rsidTr="002B2BA3">
        <w:trPr>
          <w:trHeight w:val="311"/>
        </w:trPr>
        <w:tc>
          <w:tcPr>
            <w:tcW w:w="5754" w:type="dxa"/>
          </w:tcPr>
          <w:p w14:paraId="1D811A13" w14:textId="4721A501" w:rsidR="00CF3D3D" w:rsidRDefault="00CF3D3D" w:rsidP="00CF3D3D">
            <w:pPr>
              <w:pStyle w:val="TableParagraph"/>
              <w:spacing w:before="40"/>
              <w:ind w:left="4"/>
              <w:rPr>
                <w:sz w:val="20"/>
              </w:rPr>
            </w:pPr>
            <w:r w:rsidRPr="00C7327A">
              <w:rPr>
                <w:sz w:val="20"/>
                <w:szCs w:val="20"/>
              </w:rPr>
              <w:t>L&amp;G</w:t>
            </w:r>
            <w:r w:rsidRPr="00C7327A">
              <w:rPr>
                <w:spacing w:val="-5"/>
                <w:sz w:val="20"/>
                <w:szCs w:val="20"/>
              </w:rPr>
              <w:t xml:space="preserve"> </w:t>
            </w:r>
            <w:r w:rsidRPr="00C7327A">
              <w:rPr>
                <w:sz w:val="20"/>
                <w:szCs w:val="20"/>
              </w:rPr>
              <w:t>PMC</w:t>
            </w:r>
            <w:r w:rsidRPr="00C7327A">
              <w:rPr>
                <w:spacing w:val="-4"/>
                <w:sz w:val="20"/>
                <w:szCs w:val="20"/>
              </w:rPr>
              <w:t xml:space="preserve"> </w:t>
            </w:r>
            <w:r w:rsidRPr="00C7327A">
              <w:rPr>
                <w:sz w:val="20"/>
                <w:szCs w:val="20"/>
              </w:rPr>
              <w:t>Retirement</w:t>
            </w:r>
            <w:r w:rsidRPr="00C7327A">
              <w:rPr>
                <w:spacing w:val="-5"/>
                <w:sz w:val="20"/>
                <w:szCs w:val="20"/>
              </w:rPr>
              <w:t xml:space="preserve"> </w:t>
            </w:r>
            <w:r w:rsidRPr="00C7327A">
              <w:rPr>
                <w:sz w:val="20"/>
                <w:szCs w:val="20"/>
              </w:rPr>
              <w:t>Income</w:t>
            </w:r>
            <w:r w:rsidRPr="00C7327A">
              <w:rPr>
                <w:spacing w:val="-6"/>
                <w:sz w:val="20"/>
                <w:szCs w:val="20"/>
              </w:rPr>
              <w:t xml:space="preserve"> </w:t>
            </w:r>
            <w:r w:rsidRPr="00C7327A">
              <w:rPr>
                <w:sz w:val="20"/>
                <w:szCs w:val="20"/>
              </w:rPr>
              <w:t>Multi-Asset</w:t>
            </w:r>
            <w:r w:rsidRPr="00C7327A">
              <w:rPr>
                <w:spacing w:val="-5"/>
                <w:sz w:val="20"/>
                <w:szCs w:val="20"/>
              </w:rPr>
              <w:t xml:space="preserve"> </w:t>
            </w:r>
            <w:r w:rsidRPr="00C7327A">
              <w:rPr>
                <w:sz w:val="20"/>
                <w:szCs w:val="20"/>
              </w:rPr>
              <w:t>Fund</w:t>
            </w:r>
            <w:r w:rsidRPr="00C7327A">
              <w:rPr>
                <w:spacing w:val="-5"/>
                <w:sz w:val="20"/>
                <w:szCs w:val="20"/>
              </w:rPr>
              <w:t xml:space="preserve"> </w:t>
            </w:r>
            <w:r w:rsidRPr="00C7327A">
              <w:rPr>
                <w:spacing w:val="-10"/>
                <w:sz w:val="20"/>
                <w:szCs w:val="20"/>
              </w:rPr>
              <w:t>3</w:t>
            </w:r>
          </w:p>
        </w:tc>
        <w:tc>
          <w:tcPr>
            <w:tcW w:w="1199" w:type="dxa"/>
          </w:tcPr>
          <w:p w14:paraId="7CD20079" w14:textId="6B5FF8CA"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4.6%</w:t>
            </w:r>
          </w:p>
        </w:tc>
        <w:tc>
          <w:tcPr>
            <w:tcW w:w="1694" w:type="dxa"/>
          </w:tcPr>
          <w:p w14:paraId="5BD83E7D" w14:textId="77777777" w:rsidR="00CF3D3D" w:rsidRPr="00785D13" w:rsidRDefault="00CF3D3D" w:rsidP="00CF3D3D">
            <w:pPr>
              <w:pStyle w:val="TableParagraph"/>
              <w:spacing w:before="40"/>
              <w:ind w:left="10" w:right="1"/>
              <w:jc w:val="center"/>
              <w:rPr>
                <w:sz w:val="20"/>
              </w:rPr>
            </w:pPr>
            <w:r w:rsidRPr="00785D13">
              <w:rPr>
                <w:sz w:val="20"/>
              </w:rPr>
              <w:t>3.0%</w:t>
            </w:r>
          </w:p>
          <w:p w14:paraId="1F691D4B" w14:textId="77777777" w:rsidR="00CF3D3D" w:rsidRPr="00B81408" w:rsidRDefault="00CF3D3D" w:rsidP="00CF3D3D">
            <w:pPr>
              <w:pStyle w:val="TableParagraph"/>
              <w:spacing w:before="40"/>
              <w:ind w:left="10" w:right="1"/>
              <w:jc w:val="center"/>
              <w:rPr>
                <w:sz w:val="20"/>
                <w:highlight w:val="lightGray"/>
              </w:rPr>
            </w:pPr>
          </w:p>
        </w:tc>
      </w:tr>
      <w:tr w:rsidR="00CF3D3D" w14:paraId="21CB98F1" w14:textId="77777777" w:rsidTr="002B2BA3">
        <w:trPr>
          <w:trHeight w:val="311"/>
        </w:trPr>
        <w:tc>
          <w:tcPr>
            <w:tcW w:w="5754" w:type="dxa"/>
          </w:tcPr>
          <w:p w14:paraId="72EF62C7" w14:textId="70C3EC2E" w:rsidR="00CF3D3D" w:rsidRDefault="00CF3D3D" w:rsidP="00CF3D3D">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2"/>
                <w:sz w:val="20"/>
                <w:szCs w:val="20"/>
              </w:rPr>
              <w:t xml:space="preserve"> </w:t>
            </w:r>
            <w:r w:rsidRPr="00C7327A">
              <w:rPr>
                <w:sz w:val="20"/>
                <w:szCs w:val="20"/>
              </w:rPr>
              <w:t>CT</w:t>
            </w:r>
            <w:r w:rsidRPr="00C7327A">
              <w:rPr>
                <w:spacing w:val="-2"/>
                <w:sz w:val="20"/>
                <w:szCs w:val="20"/>
              </w:rPr>
              <w:t xml:space="preserve"> </w:t>
            </w:r>
            <w:r w:rsidRPr="00C7327A">
              <w:rPr>
                <w:sz w:val="20"/>
                <w:szCs w:val="20"/>
              </w:rPr>
              <w:t>Managed</w:t>
            </w:r>
            <w:r w:rsidRPr="00C7327A">
              <w:rPr>
                <w:spacing w:val="-2"/>
                <w:sz w:val="20"/>
                <w:szCs w:val="20"/>
              </w:rPr>
              <w:t xml:space="preserve"> </w:t>
            </w:r>
            <w:r w:rsidRPr="00C7327A">
              <w:rPr>
                <w:sz w:val="20"/>
                <w:szCs w:val="20"/>
              </w:rPr>
              <w:t>Equity</w:t>
            </w:r>
            <w:r w:rsidRPr="00C7327A">
              <w:rPr>
                <w:spacing w:val="-2"/>
                <w:sz w:val="20"/>
                <w:szCs w:val="20"/>
              </w:rPr>
              <w:t xml:space="preserve"> </w:t>
            </w:r>
            <w:r w:rsidRPr="00C7327A">
              <w:rPr>
                <w:spacing w:val="-10"/>
                <w:sz w:val="20"/>
                <w:szCs w:val="20"/>
              </w:rPr>
              <w:t>3</w:t>
            </w:r>
          </w:p>
        </w:tc>
        <w:tc>
          <w:tcPr>
            <w:tcW w:w="1199" w:type="dxa"/>
          </w:tcPr>
          <w:p w14:paraId="64AD6A05" w14:textId="11E22AD6"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13.3%</w:t>
            </w:r>
          </w:p>
        </w:tc>
        <w:tc>
          <w:tcPr>
            <w:tcW w:w="1694" w:type="dxa"/>
          </w:tcPr>
          <w:p w14:paraId="6BC93A39" w14:textId="2C921D06" w:rsidR="00CF3D3D" w:rsidRPr="00B81408" w:rsidRDefault="00CF3D3D" w:rsidP="00CF3D3D">
            <w:pPr>
              <w:pStyle w:val="TableParagraph"/>
              <w:spacing w:before="40"/>
              <w:ind w:left="10" w:right="1"/>
              <w:jc w:val="center"/>
              <w:rPr>
                <w:sz w:val="20"/>
                <w:highlight w:val="lightGray"/>
              </w:rPr>
            </w:pPr>
            <w:r w:rsidRPr="00785D13">
              <w:rPr>
                <w:sz w:val="20"/>
              </w:rPr>
              <w:t>7.7%</w:t>
            </w:r>
          </w:p>
        </w:tc>
      </w:tr>
      <w:tr w:rsidR="00CF3D3D" w14:paraId="180D6100" w14:textId="77777777" w:rsidTr="002B2BA3">
        <w:trPr>
          <w:trHeight w:val="311"/>
        </w:trPr>
        <w:tc>
          <w:tcPr>
            <w:tcW w:w="5754" w:type="dxa"/>
          </w:tcPr>
          <w:p w14:paraId="349D31D8" w14:textId="2748923B" w:rsidR="00CF3D3D" w:rsidRDefault="00CF3D3D" w:rsidP="00CF3D3D">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2"/>
                <w:sz w:val="20"/>
                <w:szCs w:val="20"/>
              </w:rPr>
              <w:t xml:space="preserve"> </w:t>
            </w:r>
            <w:r w:rsidRPr="00C7327A">
              <w:rPr>
                <w:sz w:val="20"/>
                <w:szCs w:val="20"/>
              </w:rPr>
              <w:t>UK</w:t>
            </w:r>
            <w:r w:rsidRPr="00C7327A">
              <w:rPr>
                <w:spacing w:val="-2"/>
                <w:sz w:val="20"/>
                <w:szCs w:val="20"/>
              </w:rPr>
              <w:t xml:space="preserve"> </w:t>
            </w:r>
            <w:r w:rsidRPr="00C7327A">
              <w:rPr>
                <w:sz w:val="20"/>
                <w:szCs w:val="20"/>
              </w:rPr>
              <w:t>Index</w:t>
            </w:r>
            <w:r w:rsidRPr="00C7327A">
              <w:rPr>
                <w:spacing w:val="-4"/>
                <w:sz w:val="20"/>
                <w:szCs w:val="20"/>
              </w:rPr>
              <w:t xml:space="preserve"> </w:t>
            </w:r>
            <w:r w:rsidRPr="00C7327A">
              <w:rPr>
                <w:sz w:val="20"/>
                <w:szCs w:val="20"/>
              </w:rPr>
              <w:t>Equity</w:t>
            </w:r>
            <w:r w:rsidRPr="00C7327A">
              <w:rPr>
                <w:spacing w:val="-2"/>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199" w:type="dxa"/>
          </w:tcPr>
          <w:p w14:paraId="0D8E095B" w14:textId="7C703B61"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9.3%</w:t>
            </w:r>
          </w:p>
        </w:tc>
        <w:tc>
          <w:tcPr>
            <w:tcW w:w="1694" w:type="dxa"/>
          </w:tcPr>
          <w:p w14:paraId="1D09B264" w14:textId="78A2EE06" w:rsidR="00CF3D3D" w:rsidRPr="00B81408" w:rsidRDefault="00CF3D3D" w:rsidP="00CF3D3D">
            <w:pPr>
              <w:pStyle w:val="TableParagraph"/>
              <w:spacing w:before="40"/>
              <w:ind w:left="10" w:right="1"/>
              <w:jc w:val="center"/>
              <w:rPr>
                <w:sz w:val="20"/>
                <w:highlight w:val="lightGray"/>
              </w:rPr>
            </w:pPr>
            <w:r w:rsidRPr="00785D13">
              <w:rPr>
                <w:sz w:val="20"/>
              </w:rPr>
              <w:t>4.8%</w:t>
            </w:r>
          </w:p>
        </w:tc>
      </w:tr>
      <w:tr w:rsidR="00CF3D3D" w14:paraId="7C9FF5FE" w14:textId="77777777" w:rsidTr="002B2BA3">
        <w:trPr>
          <w:trHeight w:val="311"/>
        </w:trPr>
        <w:tc>
          <w:tcPr>
            <w:tcW w:w="5754" w:type="dxa"/>
          </w:tcPr>
          <w:p w14:paraId="0F6D454E" w14:textId="261E9C1B" w:rsidR="00CF3D3D" w:rsidRDefault="00CF3D3D" w:rsidP="00CF3D3D">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3"/>
                <w:sz w:val="20"/>
                <w:szCs w:val="20"/>
              </w:rPr>
              <w:t xml:space="preserve"> </w:t>
            </w:r>
            <w:r w:rsidRPr="00C7327A">
              <w:rPr>
                <w:sz w:val="20"/>
                <w:szCs w:val="20"/>
              </w:rPr>
              <w:t>World</w:t>
            </w:r>
            <w:r w:rsidRPr="00C7327A">
              <w:rPr>
                <w:spacing w:val="-4"/>
                <w:sz w:val="20"/>
                <w:szCs w:val="20"/>
              </w:rPr>
              <w:t xml:space="preserve"> </w:t>
            </w:r>
            <w:r w:rsidRPr="00C7327A">
              <w:rPr>
                <w:sz w:val="20"/>
                <w:szCs w:val="20"/>
              </w:rPr>
              <w:t>(Ex-UK)</w:t>
            </w:r>
            <w:r w:rsidRPr="00C7327A">
              <w:rPr>
                <w:spacing w:val="-4"/>
                <w:sz w:val="20"/>
                <w:szCs w:val="20"/>
              </w:rPr>
              <w:t xml:space="preserve"> </w:t>
            </w:r>
            <w:r w:rsidRPr="00C7327A">
              <w:rPr>
                <w:sz w:val="20"/>
                <w:szCs w:val="20"/>
              </w:rPr>
              <w:t>Equity</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199" w:type="dxa"/>
          </w:tcPr>
          <w:p w14:paraId="6E0877BB" w14:textId="1D924AB4"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19.9%</w:t>
            </w:r>
          </w:p>
        </w:tc>
        <w:tc>
          <w:tcPr>
            <w:tcW w:w="1694" w:type="dxa"/>
          </w:tcPr>
          <w:p w14:paraId="55E63C31" w14:textId="10488BDF" w:rsidR="00CF3D3D" w:rsidRPr="00B81408" w:rsidRDefault="00CF3D3D" w:rsidP="00CF3D3D">
            <w:pPr>
              <w:pStyle w:val="TableParagraph"/>
              <w:spacing w:before="40"/>
              <w:ind w:left="10" w:right="1"/>
              <w:jc w:val="center"/>
              <w:rPr>
                <w:sz w:val="20"/>
                <w:highlight w:val="lightGray"/>
              </w:rPr>
            </w:pPr>
            <w:r w:rsidRPr="00785D13">
              <w:rPr>
                <w:sz w:val="20"/>
              </w:rPr>
              <w:t>12.5%</w:t>
            </w:r>
          </w:p>
        </w:tc>
      </w:tr>
      <w:tr w:rsidR="00CF3D3D" w14:paraId="2016C02A" w14:textId="77777777" w:rsidTr="002B2BA3">
        <w:trPr>
          <w:trHeight w:val="311"/>
        </w:trPr>
        <w:tc>
          <w:tcPr>
            <w:tcW w:w="5754" w:type="dxa"/>
          </w:tcPr>
          <w:p w14:paraId="00698DF5" w14:textId="7F5773E6" w:rsidR="00CF3D3D" w:rsidRDefault="00CF3D3D" w:rsidP="00CF3D3D">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3"/>
                <w:sz w:val="20"/>
                <w:szCs w:val="20"/>
              </w:rPr>
              <w:t xml:space="preserve"> </w:t>
            </w:r>
            <w:r w:rsidRPr="00C7327A">
              <w:rPr>
                <w:sz w:val="20"/>
                <w:szCs w:val="20"/>
              </w:rPr>
              <w:t>Over</w:t>
            </w:r>
            <w:r w:rsidRPr="00C7327A">
              <w:rPr>
                <w:spacing w:val="-3"/>
                <w:sz w:val="20"/>
                <w:szCs w:val="20"/>
              </w:rPr>
              <w:t xml:space="preserve"> </w:t>
            </w:r>
            <w:r w:rsidRPr="00C7327A">
              <w:rPr>
                <w:sz w:val="20"/>
                <w:szCs w:val="20"/>
              </w:rPr>
              <w:t>5</w:t>
            </w:r>
            <w:r w:rsidRPr="00C7327A">
              <w:rPr>
                <w:spacing w:val="-4"/>
                <w:sz w:val="20"/>
                <w:szCs w:val="20"/>
              </w:rPr>
              <w:t xml:space="preserve"> </w:t>
            </w:r>
            <w:r w:rsidRPr="00C7327A">
              <w:rPr>
                <w:sz w:val="20"/>
                <w:szCs w:val="20"/>
              </w:rPr>
              <w:t>Year</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z w:val="20"/>
                <w:szCs w:val="20"/>
              </w:rPr>
              <w:t>Linked</w:t>
            </w:r>
            <w:r w:rsidRPr="00C7327A">
              <w:rPr>
                <w:spacing w:val="-3"/>
                <w:sz w:val="20"/>
                <w:szCs w:val="20"/>
              </w:rPr>
              <w:t xml:space="preserve"> </w:t>
            </w:r>
            <w:r w:rsidRPr="00C7327A">
              <w:rPr>
                <w:sz w:val="20"/>
                <w:szCs w:val="20"/>
              </w:rPr>
              <w:t>Gilts</w:t>
            </w:r>
            <w:r w:rsidRPr="00C7327A">
              <w:rPr>
                <w:spacing w:val="-3"/>
                <w:sz w:val="20"/>
                <w:szCs w:val="20"/>
              </w:rPr>
              <w:t xml:space="preserve"> </w:t>
            </w:r>
            <w:r w:rsidRPr="00C7327A">
              <w:rPr>
                <w:sz w:val="20"/>
                <w:szCs w:val="20"/>
              </w:rPr>
              <w:t>Index</w:t>
            </w:r>
            <w:r w:rsidRPr="00C7327A">
              <w:rPr>
                <w:spacing w:val="-4"/>
                <w:sz w:val="20"/>
                <w:szCs w:val="20"/>
              </w:rPr>
              <w:t xml:space="preserve"> </w:t>
            </w:r>
            <w:r w:rsidRPr="00C7327A">
              <w:rPr>
                <w:spacing w:val="-10"/>
                <w:sz w:val="20"/>
                <w:szCs w:val="20"/>
              </w:rPr>
              <w:t>3</w:t>
            </w:r>
          </w:p>
        </w:tc>
        <w:tc>
          <w:tcPr>
            <w:tcW w:w="1199" w:type="dxa"/>
          </w:tcPr>
          <w:p w14:paraId="6C778D60" w14:textId="4A2AB17E" w:rsidR="00CF3D3D" w:rsidRPr="00B81408" w:rsidRDefault="00CF3D3D" w:rsidP="00CF3D3D">
            <w:pPr>
              <w:pStyle w:val="TableParagraph"/>
              <w:spacing w:before="40"/>
              <w:ind w:left="16" w:right="6"/>
              <w:jc w:val="center"/>
              <w:rPr>
                <w:spacing w:val="-4"/>
                <w:sz w:val="20"/>
                <w:highlight w:val="lightGray"/>
              </w:rPr>
            </w:pPr>
            <w:r w:rsidRPr="00785D13">
              <w:rPr>
                <w:spacing w:val="-4"/>
                <w:sz w:val="20"/>
              </w:rPr>
              <w:t>-11.0%</w:t>
            </w:r>
          </w:p>
        </w:tc>
        <w:tc>
          <w:tcPr>
            <w:tcW w:w="1694" w:type="dxa"/>
          </w:tcPr>
          <w:p w14:paraId="41777D82" w14:textId="62E8138D" w:rsidR="00CF3D3D" w:rsidRPr="00B81408" w:rsidRDefault="00CF3D3D" w:rsidP="00CF3D3D">
            <w:pPr>
              <w:pStyle w:val="TableParagraph"/>
              <w:spacing w:before="40"/>
              <w:ind w:left="10" w:right="1"/>
              <w:jc w:val="center"/>
              <w:rPr>
                <w:sz w:val="20"/>
                <w:highlight w:val="lightGray"/>
              </w:rPr>
            </w:pPr>
            <w:r w:rsidRPr="00785D13">
              <w:rPr>
                <w:sz w:val="20"/>
              </w:rPr>
              <w:t>-8.2%</w:t>
            </w:r>
          </w:p>
        </w:tc>
      </w:tr>
      <w:tr w:rsidR="001718FC" w14:paraId="77ABEDA5" w14:textId="77777777" w:rsidTr="002B2BA3">
        <w:trPr>
          <w:trHeight w:val="311"/>
        </w:trPr>
        <w:tc>
          <w:tcPr>
            <w:tcW w:w="5754" w:type="dxa"/>
          </w:tcPr>
          <w:p w14:paraId="1595DFE9" w14:textId="74963065" w:rsidR="001718FC" w:rsidRDefault="001718FC" w:rsidP="001718FC">
            <w:pPr>
              <w:pStyle w:val="TableParagraph"/>
              <w:spacing w:before="40"/>
              <w:ind w:left="4"/>
              <w:rPr>
                <w:sz w:val="20"/>
              </w:rPr>
            </w:pPr>
            <w:r w:rsidRPr="00C7327A">
              <w:rPr>
                <w:sz w:val="20"/>
                <w:szCs w:val="20"/>
              </w:rPr>
              <w:t>The</w:t>
            </w:r>
            <w:r w:rsidRPr="00C7327A">
              <w:rPr>
                <w:spacing w:val="-6"/>
                <w:sz w:val="20"/>
                <w:szCs w:val="20"/>
              </w:rPr>
              <w:t xml:space="preserve"> </w:t>
            </w:r>
            <w:r w:rsidRPr="00C7327A">
              <w:rPr>
                <w:sz w:val="20"/>
                <w:szCs w:val="20"/>
              </w:rPr>
              <w:t>Legal</w:t>
            </w:r>
            <w:r w:rsidRPr="00C7327A">
              <w:rPr>
                <w:spacing w:val="-5"/>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5"/>
                <w:sz w:val="20"/>
                <w:szCs w:val="20"/>
              </w:rPr>
              <w:t xml:space="preserve"> </w:t>
            </w:r>
            <w:r w:rsidRPr="00C7327A">
              <w:rPr>
                <w:sz w:val="20"/>
                <w:szCs w:val="20"/>
              </w:rPr>
              <w:t>Annuity</w:t>
            </w:r>
            <w:r w:rsidRPr="00C7327A">
              <w:rPr>
                <w:spacing w:val="-3"/>
                <w:sz w:val="20"/>
                <w:szCs w:val="20"/>
              </w:rPr>
              <w:t xml:space="preserve"> </w:t>
            </w:r>
            <w:r w:rsidRPr="00C7327A">
              <w:rPr>
                <w:spacing w:val="-2"/>
                <w:sz w:val="20"/>
                <w:szCs w:val="20"/>
              </w:rPr>
              <w:t>Lifestyle</w:t>
            </w:r>
          </w:p>
        </w:tc>
        <w:tc>
          <w:tcPr>
            <w:tcW w:w="1199" w:type="dxa"/>
          </w:tcPr>
          <w:p w14:paraId="31BBB820" w14:textId="021DAD6D" w:rsidR="001718FC" w:rsidRPr="00B81408" w:rsidRDefault="001718FC" w:rsidP="001718FC">
            <w:pPr>
              <w:pStyle w:val="TableParagraph"/>
              <w:spacing w:before="40"/>
              <w:ind w:left="16" w:right="6"/>
              <w:jc w:val="center"/>
              <w:rPr>
                <w:spacing w:val="-4"/>
                <w:sz w:val="20"/>
                <w:highlight w:val="lightGray"/>
              </w:rPr>
            </w:pPr>
            <w:r w:rsidRPr="00785D13">
              <w:rPr>
                <w:spacing w:val="-4"/>
                <w:sz w:val="20"/>
              </w:rPr>
              <w:t>N/A</w:t>
            </w:r>
          </w:p>
        </w:tc>
        <w:tc>
          <w:tcPr>
            <w:tcW w:w="1694" w:type="dxa"/>
          </w:tcPr>
          <w:p w14:paraId="09936C3C" w14:textId="4792D449" w:rsidR="001718FC" w:rsidRPr="00B81408" w:rsidRDefault="001718FC" w:rsidP="001718FC">
            <w:pPr>
              <w:pStyle w:val="TableParagraph"/>
              <w:spacing w:before="40"/>
              <w:ind w:left="10" w:right="1"/>
              <w:jc w:val="center"/>
              <w:rPr>
                <w:sz w:val="20"/>
                <w:highlight w:val="lightGray"/>
              </w:rPr>
            </w:pPr>
            <w:r w:rsidRPr="00785D13">
              <w:rPr>
                <w:sz w:val="20"/>
              </w:rPr>
              <w:t>N/A</w:t>
            </w:r>
          </w:p>
        </w:tc>
      </w:tr>
      <w:tr w:rsidR="001718FC" w14:paraId="43F0F8FE" w14:textId="77777777" w:rsidTr="002B2BA3">
        <w:trPr>
          <w:trHeight w:val="311"/>
        </w:trPr>
        <w:tc>
          <w:tcPr>
            <w:tcW w:w="5754" w:type="dxa"/>
          </w:tcPr>
          <w:p w14:paraId="1FD772DF" w14:textId="40CB8F26" w:rsidR="001718FC" w:rsidRDefault="001718FC" w:rsidP="001718FC">
            <w:pPr>
              <w:pStyle w:val="TableParagraph"/>
              <w:spacing w:before="40"/>
              <w:ind w:left="4"/>
              <w:rPr>
                <w:sz w:val="20"/>
              </w:rPr>
            </w:pPr>
            <w:r w:rsidRPr="00C7327A">
              <w:rPr>
                <w:sz w:val="20"/>
                <w:szCs w:val="20"/>
              </w:rPr>
              <w:t>The</w:t>
            </w:r>
            <w:r w:rsidRPr="00C7327A">
              <w:rPr>
                <w:spacing w:val="-4"/>
                <w:sz w:val="20"/>
                <w:szCs w:val="20"/>
              </w:rPr>
              <w:t xml:space="preserve"> </w:t>
            </w:r>
            <w:r w:rsidRPr="00C7327A">
              <w:rPr>
                <w:sz w:val="20"/>
                <w:szCs w:val="20"/>
              </w:rPr>
              <w:t>Legal</w:t>
            </w:r>
            <w:r w:rsidRPr="00C7327A">
              <w:rPr>
                <w:spacing w:val="-4"/>
                <w:sz w:val="20"/>
                <w:szCs w:val="20"/>
              </w:rPr>
              <w:t xml:space="preserve"> </w:t>
            </w:r>
            <w:r w:rsidRPr="00C7327A">
              <w:rPr>
                <w:sz w:val="20"/>
                <w:szCs w:val="20"/>
              </w:rPr>
              <w:t>&amp;</w:t>
            </w:r>
            <w:r w:rsidRPr="00C7327A">
              <w:rPr>
                <w:spacing w:val="-3"/>
                <w:sz w:val="20"/>
                <w:szCs w:val="20"/>
              </w:rPr>
              <w:t xml:space="preserve"> </w:t>
            </w:r>
            <w:r w:rsidRPr="00C7327A">
              <w:rPr>
                <w:sz w:val="20"/>
                <w:szCs w:val="20"/>
              </w:rPr>
              <w:t>General</w:t>
            </w:r>
            <w:r w:rsidRPr="00C7327A">
              <w:rPr>
                <w:spacing w:val="-4"/>
                <w:sz w:val="20"/>
                <w:szCs w:val="20"/>
              </w:rPr>
              <w:t xml:space="preserve"> </w:t>
            </w:r>
            <w:r w:rsidRPr="00C7327A">
              <w:rPr>
                <w:sz w:val="20"/>
                <w:szCs w:val="20"/>
              </w:rPr>
              <w:t>Cash</w:t>
            </w:r>
            <w:r w:rsidRPr="00C7327A">
              <w:rPr>
                <w:spacing w:val="-3"/>
                <w:sz w:val="20"/>
                <w:szCs w:val="20"/>
              </w:rPr>
              <w:t xml:space="preserve"> </w:t>
            </w:r>
            <w:r w:rsidRPr="00C7327A">
              <w:rPr>
                <w:spacing w:val="-2"/>
                <w:sz w:val="20"/>
                <w:szCs w:val="20"/>
              </w:rPr>
              <w:t>Lifestyle</w:t>
            </w:r>
          </w:p>
        </w:tc>
        <w:tc>
          <w:tcPr>
            <w:tcW w:w="1199" w:type="dxa"/>
          </w:tcPr>
          <w:p w14:paraId="275E9587" w14:textId="66E6DC5F" w:rsidR="001718FC" w:rsidRPr="00B81408" w:rsidRDefault="001718FC" w:rsidP="001718FC">
            <w:pPr>
              <w:pStyle w:val="TableParagraph"/>
              <w:spacing w:before="40"/>
              <w:ind w:left="16" w:right="6"/>
              <w:jc w:val="center"/>
              <w:rPr>
                <w:spacing w:val="-4"/>
                <w:sz w:val="20"/>
                <w:highlight w:val="lightGray"/>
              </w:rPr>
            </w:pPr>
            <w:r w:rsidRPr="00785D13">
              <w:rPr>
                <w:spacing w:val="-4"/>
                <w:sz w:val="20"/>
              </w:rPr>
              <w:t>N/A</w:t>
            </w:r>
          </w:p>
        </w:tc>
        <w:tc>
          <w:tcPr>
            <w:tcW w:w="1694" w:type="dxa"/>
          </w:tcPr>
          <w:p w14:paraId="729B1E94" w14:textId="41A10FEA" w:rsidR="001718FC" w:rsidRPr="00B81408" w:rsidRDefault="001718FC" w:rsidP="001718FC">
            <w:pPr>
              <w:pStyle w:val="TableParagraph"/>
              <w:spacing w:before="40"/>
              <w:ind w:left="10" w:right="1"/>
              <w:jc w:val="center"/>
              <w:rPr>
                <w:sz w:val="20"/>
                <w:highlight w:val="lightGray"/>
              </w:rPr>
            </w:pPr>
            <w:r w:rsidRPr="00785D13">
              <w:rPr>
                <w:sz w:val="20"/>
              </w:rPr>
              <w:t>N/A</w:t>
            </w:r>
          </w:p>
        </w:tc>
      </w:tr>
      <w:tr w:rsidR="001718FC" w14:paraId="72EA0396" w14:textId="77777777" w:rsidTr="002B2BA3">
        <w:trPr>
          <w:trHeight w:val="311"/>
        </w:trPr>
        <w:tc>
          <w:tcPr>
            <w:tcW w:w="5754" w:type="dxa"/>
          </w:tcPr>
          <w:p w14:paraId="034BD789" w14:textId="5C3F7367" w:rsidR="001718FC" w:rsidRDefault="001718FC" w:rsidP="001718FC">
            <w:pPr>
              <w:pStyle w:val="TableParagraph"/>
              <w:spacing w:before="40"/>
              <w:ind w:left="4"/>
              <w:rPr>
                <w:sz w:val="20"/>
              </w:rPr>
            </w:pPr>
            <w:r w:rsidRPr="00C7327A">
              <w:rPr>
                <w:sz w:val="20"/>
                <w:szCs w:val="20"/>
              </w:rPr>
              <w:t>The</w:t>
            </w:r>
            <w:r w:rsidRPr="00C7327A">
              <w:rPr>
                <w:spacing w:val="-5"/>
                <w:sz w:val="20"/>
                <w:szCs w:val="20"/>
              </w:rPr>
              <w:t xml:space="preserve"> </w:t>
            </w:r>
            <w:r w:rsidRPr="00C7327A">
              <w:rPr>
                <w:sz w:val="20"/>
                <w:szCs w:val="20"/>
              </w:rPr>
              <w:t>Legal</w:t>
            </w:r>
            <w:r w:rsidRPr="00C7327A">
              <w:rPr>
                <w:spacing w:val="-5"/>
                <w:sz w:val="20"/>
                <w:szCs w:val="20"/>
              </w:rPr>
              <w:t xml:space="preserve"> </w:t>
            </w:r>
            <w:r w:rsidRPr="00C7327A">
              <w:rPr>
                <w:sz w:val="20"/>
                <w:szCs w:val="20"/>
              </w:rPr>
              <w:t>&amp;</w:t>
            </w:r>
            <w:r w:rsidRPr="00C7327A">
              <w:rPr>
                <w:spacing w:val="-4"/>
                <w:sz w:val="20"/>
                <w:szCs w:val="20"/>
              </w:rPr>
              <w:t xml:space="preserve"> </w:t>
            </w:r>
            <w:r w:rsidRPr="00C7327A">
              <w:rPr>
                <w:sz w:val="20"/>
                <w:szCs w:val="20"/>
              </w:rPr>
              <w:t>General</w:t>
            </w:r>
            <w:r w:rsidRPr="00C7327A">
              <w:rPr>
                <w:spacing w:val="-5"/>
                <w:sz w:val="20"/>
                <w:szCs w:val="20"/>
              </w:rPr>
              <w:t xml:space="preserve"> </w:t>
            </w:r>
            <w:r w:rsidRPr="00C7327A">
              <w:rPr>
                <w:sz w:val="20"/>
                <w:szCs w:val="20"/>
              </w:rPr>
              <w:t>Drawdown</w:t>
            </w:r>
            <w:r w:rsidRPr="00C7327A">
              <w:rPr>
                <w:spacing w:val="-3"/>
                <w:sz w:val="20"/>
                <w:szCs w:val="20"/>
              </w:rPr>
              <w:t xml:space="preserve"> </w:t>
            </w:r>
            <w:r w:rsidRPr="00C7327A">
              <w:rPr>
                <w:spacing w:val="-2"/>
                <w:sz w:val="20"/>
                <w:szCs w:val="20"/>
              </w:rPr>
              <w:t>Lifestyle</w:t>
            </w:r>
          </w:p>
        </w:tc>
        <w:tc>
          <w:tcPr>
            <w:tcW w:w="1199" w:type="dxa"/>
          </w:tcPr>
          <w:p w14:paraId="0F9852A7" w14:textId="5AEC50F5" w:rsidR="001718FC" w:rsidRPr="00B81408" w:rsidRDefault="001718FC" w:rsidP="001718FC">
            <w:pPr>
              <w:pStyle w:val="TableParagraph"/>
              <w:spacing w:before="40"/>
              <w:ind w:left="16" w:right="6"/>
              <w:jc w:val="center"/>
              <w:rPr>
                <w:spacing w:val="-4"/>
                <w:sz w:val="20"/>
                <w:highlight w:val="lightGray"/>
              </w:rPr>
            </w:pPr>
            <w:r w:rsidRPr="00785D13">
              <w:rPr>
                <w:spacing w:val="-4"/>
                <w:sz w:val="20"/>
              </w:rPr>
              <w:t>N/A</w:t>
            </w:r>
          </w:p>
        </w:tc>
        <w:tc>
          <w:tcPr>
            <w:tcW w:w="1694" w:type="dxa"/>
          </w:tcPr>
          <w:p w14:paraId="61A786C4" w14:textId="36EAB5C0" w:rsidR="001718FC" w:rsidRPr="00B81408" w:rsidRDefault="001718FC" w:rsidP="001718FC">
            <w:pPr>
              <w:pStyle w:val="TableParagraph"/>
              <w:spacing w:before="40"/>
              <w:ind w:left="10" w:right="1"/>
              <w:jc w:val="center"/>
              <w:rPr>
                <w:sz w:val="20"/>
                <w:highlight w:val="lightGray"/>
              </w:rPr>
            </w:pPr>
            <w:r w:rsidRPr="00785D13">
              <w:rPr>
                <w:sz w:val="20"/>
              </w:rPr>
              <w:t>N/A</w:t>
            </w:r>
          </w:p>
        </w:tc>
      </w:tr>
      <w:tr w:rsidR="001718FC" w14:paraId="433FC553" w14:textId="77777777" w:rsidTr="002B2BA3">
        <w:trPr>
          <w:trHeight w:val="311"/>
        </w:trPr>
        <w:tc>
          <w:tcPr>
            <w:tcW w:w="5754" w:type="dxa"/>
          </w:tcPr>
          <w:p w14:paraId="47C64D4E" w14:textId="093B2504" w:rsidR="001718FC" w:rsidRDefault="001718FC" w:rsidP="001718F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Annuity</w:t>
            </w:r>
            <w:r w:rsidRPr="00C7327A">
              <w:rPr>
                <w:spacing w:val="-4"/>
                <w:sz w:val="20"/>
                <w:szCs w:val="20"/>
              </w:rPr>
              <w:t xml:space="preserve"> </w:t>
            </w:r>
            <w:r w:rsidRPr="00C7327A">
              <w:rPr>
                <w:sz w:val="20"/>
                <w:szCs w:val="20"/>
              </w:rPr>
              <w:t>Lifestyle</w:t>
            </w:r>
            <w:r w:rsidRPr="00C7327A">
              <w:rPr>
                <w:spacing w:val="-5"/>
                <w:sz w:val="20"/>
                <w:szCs w:val="20"/>
              </w:rPr>
              <w:t xml:space="preserve"> </w:t>
            </w:r>
            <w:r w:rsidRPr="00C7327A">
              <w:rPr>
                <w:sz w:val="20"/>
                <w:szCs w:val="20"/>
              </w:rPr>
              <w:t>-</w:t>
            </w:r>
            <w:r w:rsidRPr="00C7327A">
              <w:rPr>
                <w:spacing w:val="-6"/>
                <w:sz w:val="20"/>
                <w:szCs w:val="20"/>
              </w:rPr>
              <w:t xml:space="preserve"> </w:t>
            </w:r>
            <w:r w:rsidRPr="00C7327A">
              <w:rPr>
                <w:sz w:val="20"/>
                <w:szCs w:val="20"/>
              </w:rPr>
              <w:t>MT</w:t>
            </w:r>
            <w:r w:rsidRPr="00C7327A">
              <w:rPr>
                <w:spacing w:val="-3"/>
                <w:sz w:val="20"/>
                <w:szCs w:val="20"/>
              </w:rPr>
              <w:t xml:space="preserve"> </w:t>
            </w:r>
            <w:r w:rsidRPr="00C7327A">
              <w:rPr>
                <w:sz w:val="20"/>
                <w:szCs w:val="20"/>
              </w:rPr>
              <w:t>Future</w:t>
            </w:r>
            <w:r w:rsidRPr="00C7327A">
              <w:rPr>
                <w:spacing w:val="-6"/>
                <w:sz w:val="20"/>
                <w:szCs w:val="20"/>
              </w:rPr>
              <w:t xml:space="preserve"> </w:t>
            </w:r>
            <w:r w:rsidRPr="00C7327A">
              <w:rPr>
                <w:sz w:val="20"/>
                <w:szCs w:val="20"/>
              </w:rPr>
              <w:t>World</w:t>
            </w:r>
            <w:r w:rsidRPr="00C7327A">
              <w:rPr>
                <w:spacing w:val="-4"/>
                <w:sz w:val="20"/>
                <w:szCs w:val="20"/>
              </w:rPr>
              <w:t xml:space="preserve"> </w:t>
            </w:r>
            <w:r w:rsidRPr="00C7327A">
              <w:rPr>
                <w:spacing w:val="-5"/>
                <w:sz w:val="20"/>
                <w:szCs w:val="20"/>
              </w:rPr>
              <w:t>MAF</w:t>
            </w:r>
          </w:p>
        </w:tc>
        <w:tc>
          <w:tcPr>
            <w:tcW w:w="1199" w:type="dxa"/>
          </w:tcPr>
          <w:p w14:paraId="1D90917D" w14:textId="654B4C0F" w:rsidR="001718FC" w:rsidRPr="00B81408" w:rsidRDefault="001718FC" w:rsidP="001718FC">
            <w:pPr>
              <w:pStyle w:val="TableParagraph"/>
              <w:spacing w:before="40"/>
              <w:ind w:left="16" w:right="6"/>
              <w:jc w:val="center"/>
              <w:rPr>
                <w:spacing w:val="-4"/>
                <w:sz w:val="20"/>
                <w:highlight w:val="lightGray"/>
              </w:rPr>
            </w:pPr>
            <w:r w:rsidRPr="00785D13">
              <w:rPr>
                <w:spacing w:val="-4"/>
                <w:sz w:val="20"/>
              </w:rPr>
              <w:t>N/A</w:t>
            </w:r>
          </w:p>
        </w:tc>
        <w:tc>
          <w:tcPr>
            <w:tcW w:w="1694" w:type="dxa"/>
          </w:tcPr>
          <w:p w14:paraId="4E2A2E51" w14:textId="14B1B5F7" w:rsidR="001718FC" w:rsidRPr="00B81408" w:rsidRDefault="001718FC" w:rsidP="001718FC">
            <w:pPr>
              <w:pStyle w:val="TableParagraph"/>
              <w:spacing w:before="40"/>
              <w:ind w:left="10" w:right="1"/>
              <w:jc w:val="center"/>
              <w:rPr>
                <w:sz w:val="20"/>
                <w:highlight w:val="lightGray"/>
              </w:rPr>
            </w:pPr>
            <w:r w:rsidRPr="00785D13">
              <w:rPr>
                <w:sz w:val="20"/>
              </w:rPr>
              <w:t>N/A</w:t>
            </w:r>
          </w:p>
        </w:tc>
      </w:tr>
      <w:tr w:rsidR="001718FC" w14:paraId="27A2F486" w14:textId="77777777" w:rsidTr="002B2BA3">
        <w:trPr>
          <w:trHeight w:val="311"/>
        </w:trPr>
        <w:tc>
          <w:tcPr>
            <w:tcW w:w="5754" w:type="dxa"/>
          </w:tcPr>
          <w:p w14:paraId="5060D0A4" w14:textId="3D07C1D3" w:rsidR="001718FC" w:rsidRDefault="001718FC" w:rsidP="001718FC">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Cash</w:t>
            </w:r>
            <w:r w:rsidRPr="00C7327A">
              <w:rPr>
                <w:spacing w:val="-4"/>
                <w:sz w:val="20"/>
                <w:szCs w:val="20"/>
              </w:rPr>
              <w:t xml:space="preserve"> </w:t>
            </w:r>
            <w:r w:rsidRPr="00C7327A">
              <w:rPr>
                <w:sz w:val="20"/>
                <w:szCs w:val="20"/>
              </w:rPr>
              <w:t>Lifestyle</w:t>
            </w:r>
            <w:r w:rsidRPr="00C7327A">
              <w:rPr>
                <w:spacing w:val="-4"/>
                <w:sz w:val="20"/>
                <w:szCs w:val="20"/>
              </w:rPr>
              <w:t xml:space="preserve"> </w:t>
            </w:r>
            <w:r w:rsidRPr="00C7327A">
              <w:rPr>
                <w:sz w:val="20"/>
                <w:szCs w:val="20"/>
              </w:rPr>
              <w:t>-</w:t>
            </w:r>
            <w:r w:rsidRPr="00C7327A">
              <w:rPr>
                <w:spacing w:val="-5"/>
                <w:sz w:val="20"/>
                <w:szCs w:val="20"/>
              </w:rPr>
              <w:t xml:space="preserve"> </w:t>
            </w:r>
            <w:r w:rsidRPr="00C7327A">
              <w:rPr>
                <w:sz w:val="20"/>
                <w:szCs w:val="20"/>
              </w:rPr>
              <w:t>MT</w:t>
            </w:r>
            <w:r w:rsidRPr="00C7327A">
              <w:rPr>
                <w:spacing w:val="-2"/>
                <w:sz w:val="20"/>
                <w:szCs w:val="20"/>
              </w:rPr>
              <w:t xml:space="preserve"> </w:t>
            </w:r>
            <w:r w:rsidRPr="00C7327A">
              <w:rPr>
                <w:sz w:val="20"/>
                <w:szCs w:val="20"/>
              </w:rPr>
              <w:t>Future</w:t>
            </w:r>
            <w:r w:rsidRPr="00C7327A">
              <w:rPr>
                <w:spacing w:val="-5"/>
                <w:sz w:val="20"/>
                <w:szCs w:val="20"/>
              </w:rPr>
              <w:t xml:space="preserve"> </w:t>
            </w:r>
            <w:r w:rsidRPr="00C7327A">
              <w:rPr>
                <w:sz w:val="20"/>
                <w:szCs w:val="20"/>
              </w:rPr>
              <w:t>World</w:t>
            </w:r>
            <w:r w:rsidRPr="00C7327A">
              <w:rPr>
                <w:spacing w:val="-3"/>
                <w:sz w:val="20"/>
                <w:szCs w:val="20"/>
              </w:rPr>
              <w:t xml:space="preserve"> </w:t>
            </w:r>
            <w:r w:rsidRPr="00C7327A">
              <w:rPr>
                <w:spacing w:val="-5"/>
                <w:sz w:val="20"/>
                <w:szCs w:val="20"/>
              </w:rPr>
              <w:t>MAF</w:t>
            </w:r>
          </w:p>
        </w:tc>
        <w:tc>
          <w:tcPr>
            <w:tcW w:w="1199" w:type="dxa"/>
          </w:tcPr>
          <w:p w14:paraId="2D311399" w14:textId="009E8865" w:rsidR="001718FC" w:rsidRPr="00B81408" w:rsidRDefault="001718FC" w:rsidP="001718FC">
            <w:pPr>
              <w:pStyle w:val="TableParagraph"/>
              <w:spacing w:before="40"/>
              <w:ind w:left="16" w:right="6"/>
              <w:jc w:val="center"/>
              <w:rPr>
                <w:spacing w:val="-4"/>
                <w:sz w:val="20"/>
                <w:highlight w:val="lightGray"/>
              </w:rPr>
            </w:pPr>
            <w:r w:rsidRPr="00785D13">
              <w:rPr>
                <w:spacing w:val="-4"/>
                <w:sz w:val="20"/>
              </w:rPr>
              <w:t>N/A</w:t>
            </w:r>
          </w:p>
        </w:tc>
        <w:tc>
          <w:tcPr>
            <w:tcW w:w="1694" w:type="dxa"/>
          </w:tcPr>
          <w:p w14:paraId="4EC99D43" w14:textId="5CE33EFD" w:rsidR="001718FC" w:rsidRPr="00B81408" w:rsidRDefault="001718FC" w:rsidP="001718FC">
            <w:pPr>
              <w:pStyle w:val="TableParagraph"/>
              <w:spacing w:before="40"/>
              <w:ind w:left="10" w:right="1"/>
              <w:jc w:val="center"/>
              <w:rPr>
                <w:sz w:val="20"/>
                <w:highlight w:val="lightGray"/>
              </w:rPr>
            </w:pPr>
            <w:r w:rsidRPr="00785D13">
              <w:rPr>
                <w:sz w:val="20"/>
              </w:rPr>
              <w:t>N/A</w:t>
            </w:r>
          </w:p>
        </w:tc>
      </w:tr>
      <w:tr w:rsidR="001718FC" w14:paraId="127F06A6" w14:textId="77777777" w:rsidTr="002B2BA3">
        <w:trPr>
          <w:trHeight w:val="311"/>
        </w:trPr>
        <w:tc>
          <w:tcPr>
            <w:tcW w:w="5754" w:type="dxa"/>
          </w:tcPr>
          <w:p w14:paraId="2017E56B" w14:textId="6DA39E68" w:rsidR="001718FC" w:rsidRDefault="001718FC" w:rsidP="001718F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Drawdown</w:t>
            </w:r>
            <w:r w:rsidRPr="00C7327A">
              <w:rPr>
                <w:spacing w:val="-4"/>
                <w:sz w:val="20"/>
                <w:szCs w:val="20"/>
              </w:rPr>
              <w:t xml:space="preserve"> </w:t>
            </w:r>
            <w:r w:rsidRPr="00C7327A">
              <w:rPr>
                <w:sz w:val="20"/>
                <w:szCs w:val="20"/>
              </w:rPr>
              <w:t>Lifestyle</w:t>
            </w:r>
            <w:r w:rsidRPr="00C7327A">
              <w:rPr>
                <w:spacing w:val="-5"/>
                <w:sz w:val="20"/>
                <w:szCs w:val="20"/>
              </w:rPr>
              <w:t xml:space="preserve"> </w:t>
            </w:r>
            <w:r w:rsidRPr="00C7327A">
              <w:rPr>
                <w:sz w:val="20"/>
                <w:szCs w:val="20"/>
              </w:rPr>
              <w:t>-</w:t>
            </w:r>
            <w:r w:rsidRPr="00C7327A">
              <w:rPr>
                <w:spacing w:val="-5"/>
                <w:sz w:val="20"/>
                <w:szCs w:val="20"/>
              </w:rPr>
              <w:t xml:space="preserve"> </w:t>
            </w:r>
            <w:r w:rsidRPr="00C7327A">
              <w:rPr>
                <w:sz w:val="20"/>
                <w:szCs w:val="20"/>
              </w:rPr>
              <w:t>MT</w:t>
            </w:r>
            <w:r w:rsidRPr="00C7327A">
              <w:rPr>
                <w:spacing w:val="-3"/>
                <w:sz w:val="20"/>
                <w:szCs w:val="20"/>
              </w:rPr>
              <w:t xml:space="preserve"> </w:t>
            </w:r>
            <w:r w:rsidRPr="00C7327A">
              <w:rPr>
                <w:sz w:val="20"/>
                <w:szCs w:val="20"/>
              </w:rPr>
              <w:t>Future</w:t>
            </w:r>
            <w:r w:rsidRPr="00C7327A">
              <w:rPr>
                <w:spacing w:val="-5"/>
                <w:sz w:val="20"/>
                <w:szCs w:val="20"/>
              </w:rPr>
              <w:t xml:space="preserve"> </w:t>
            </w:r>
            <w:r w:rsidRPr="00C7327A">
              <w:rPr>
                <w:sz w:val="20"/>
                <w:szCs w:val="20"/>
              </w:rPr>
              <w:t>World</w:t>
            </w:r>
            <w:r w:rsidRPr="00C7327A">
              <w:rPr>
                <w:spacing w:val="-4"/>
                <w:sz w:val="20"/>
                <w:szCs w:val="20"/>
              </w:rPr>
              <w:t xml:space="preserve"> </w:t>
            </w:r>
            <w:r w:rsidRPr="00C7327A">
              <w:rPr>
                <w:spacing w:val="-5"/>
                <w:sz w:val="20"/>
                <w:szCs w:val="20"/>
              </w:rPr>
              <w:t>MAF</w:t>
            </w:r>
          </w:p>
        </w:tc>
        <w:tc>
          <w:tcPr>
            <w:tcW w:w="1199" w:type="dxa"/>
          </w:tcPr>
          <w:p w14:paraId="4FC8ED6C" w14:textId="14F467E0" w:rsidR="001718FC" w:rsidRPr="00B81408" w:rsidRDefault="001718FC" w:rsidP="001718FC">
            <w:pPr>
              <w:pStyle w:val="TableParagraph"/>
              <w:spacing w:before="40"/>
              <w:ind w:left="16" w:right="6"/>
              <w:jc w:val="center"/>
              <w:rPr>
                <w:spacing w:val="-4"/>
                <w:sz w:val="20"/>
                <w:highlight w:val="lightGray"/>
              </w:rPr>
            </w:pPr>
            <w:r w:rsidRPr="00785D13">
              <w:rPr>
                <w:spacing w:val="-4"/>
                <w:sz w:val="20"/>
              </w:rPr>
              <w:t>N/A</w:t>
            </w:r>
          </w:p>
        </w:tc>
        <w:tc>
          <w:tcPr>
            <w:tcW w:w="1694" w:type="dxa"/>
          </w:tcPr>
          <w:p w14:paraId="6A4920DF" w14:textId="7F41B3E5" w:rsidR="001718FC" w:rsidRPr="00B81408" w:rsidRDefault="001718FC" w:rsidP="001718FC">
            <w:pPr>
              <w:pStyle w:val="TableParagraph"/>
              <w:spacing w:before="40"/>
              <w:ind w:left="10" w:right="1"/>
              <w:jc w:val="center"/>
              <w:rPr>
                <w:sz w:val="20"/>
                <w:highlight w:val="lightGray"/>
              </w:rPr>
            </w:pPr>
            <w:r w:rsidRPr="00785D13">
              <w:rPr>
                <w:sz w:val="20"/>
              </w:rPr>
              <w:t>N/A</w:t>
            </w:r>
          </w:p>
        </w:tc>
      </w:tr>
    </w:tbl>
    <w:bookmarkEnd w:id="0"/>
    <w:p w14:paraId="0606F907" w14:textId="688D6740" w:rsidR="00C47336" w:rsidRPr="0088390D" w:rsidRDefault="00A853B3">
      <w:pPr>
        <w:spacing w:before="128"/>
        <w:ind w:left="199"/>
      </w:pPr>
      <w:r>
        <w:rPr>
          <w:i/>
          <w:sz w:val="18"/>
        </w:rPr>
        <w:t>Source:</w:t>
      </w:r>
      <w:r>
        <w:rPr>
          <w:i/>
          <w:spacing w:val="-2"/>
          <w:sz w:val="18"/>
        </w:rPr>
        <w:t xml:space="preserve"> </w:t>
      </w:r>
      <w:r>
        <w:rPr>
          <w:i/>
          <w:spacing w:val="-5"/>
          <w:sz w:val="18"/>
        </w:rPr>
        <w:t>L&amp;G</w:t>
      </w:r>
    </w:p>
    <w:p w14:paraId="533F5A4C" w14:textId="485BB733" w:rsidR="00AB3475" w:rsidRDefault="00C551A4" w:rsidP="00344243">
      <w:pPr>
        <w:spacing w:before="128"/>
        <w:ind w:left="199"/>
      </w:pPr>
      <w:r w:rsidRPr="0088390D">
        <w:t>Note:</w:t>
      </w:r>
      <w:r w:rsidR="0099748F" w:rsidRPr="0088390D">
        <w:t xml:space="preserve"> </w:t>
      </w:r>
      <w:r w:rsidRPr="0088390D">
        <w:t xml:space="preserve">Given </w:t>
      </w:r>
      <w:r w:rsidR="000A4B21" w:rsidRPr="0088390D">
        <w:t xml:space="preserve">that new contributions were transferred to L&amp;G on the </w:t>
      </w:r>
      <w:r w:rsidR="00A93824" w:rsidRPr="0088390D">
        <w:t>1 October 2024</w:t>
      </w:r>
      <w:r w:rsidR="000A4B21" w:rsidRPr="0088390D">
        <w:t xml:space="preserve"> and existing members were </w:t>
      </w:r>
      <w:r w:rsidR="00A93824" w:rsidRPr="0088390D">
        <w:t>transferred on</w:t>
      </w:r>
      <w:r w:rsidR="000A4B21" w:rsidRPr="0088390D">
        <w:t xml:space="preserve"> </w:t>
      </w:r>
      <w:r w:rsidR="00A93824" w:rsidRPr="0088390D">
        <w:t>8</w:t>
      </w:r>
      <w:r w:rsidR="00957BAC">
        <w:t xml:space="preserve"> </w:t>
      </w:r>
      <w:r w:rsidR="00A93824" w:rsidRPr="0088390D">
        <w:t xml:space="preserve">January 2025, fund returns are indicative and not reflective of actual member experience. </w:t>
      </w:r>
    </w:p>
    <w:p w14:paraId="0947B4E1" w14:textId="77777777" w:rsidR="00344243" w:rsidRDefault="00344243" w:rsidP="00344243">
      <w:pPr>
        <w:spacing w:before="128"/>
        <w:ind w:left="199"/>
        <w:rPr>
          <w:i/>
        </w:rPr>
      </w:pPr>
    </w:p>
    <w:p w14:paraId="533F5A4D" w14:textId="6A7F85AD" w:rsidR="00AB3475" w:rsidRDefault="009F53C6" w:rsidP="009F53C6">
      <w:pPr>
        <w:pStyle w:val="Heading2"/>
        <w:tabs>
          <w:tab w:val="left" w:pos="569"/>
        </w:tabs>
      </w:pPr>
      <w:r>
        <w:t>3.2</w:t>
      </w:r>
      <w:r>
        <w:tab/>
        <w:t>AVCs</w:t>
      </w:r>
      <w:r>
        <w:rPr>
          <w:spacing w:val="-5"/>
        </w:rPr>
        <w:t xml:space="preserve"> </w:t>
      </w:r>
    </w:p>
    <w:p w14:paraId="533F5A4E" w14:textId="77777777" w:rsidR="00AB3475" w:rsidRDefault="00AB3475">
      <w:pPr>
        <w:pStyle w:val="BodyText"/>
        <w:spacing w:before="6"/>
        <w:rPr>
          <w:b/>
          <w:sz w:val="10"/>
        </w:rPr>
      </w:pPr>
    </w:p>
    <w:p w14:paraId="533F5A69" w14:textId="40DDBEA9" w:rsidR="00AB3475" w:rsidRDefault="00E435C4">
      <w:pPr>
        <w:pStyle w:val="BodyText"/>
        <w:ind w:left="199" w:right="554"/>
        <w:jc w:val="both"/>
      </w:pPr>
      <w:r>
        <w:t xml:space="preserve">Members with AVCs </w:t>
      </w:r>
      <w:r w:rsidR="00DB0DE5">
        <w:t xml:space="preserve">have access to the fund range available to </w:t>
      </w:r>
      <w:r w:rsidR="008859A3">
        <w:t xml:space="preserve">members of the DC section.  For AVCs the </w:t>
      </w:r>
      <w:r w:rsidR="009F53C6">
        <w:t xml:space="preserve">net investment returns </w:t>
      </w:r>
      <w:r w:rsidR="008859A3">
        <w:t xml:space="preserve">apply as shown in section 3.1. </w:t>
      </w:r>
    </w:p>
    <w:p w14:paraId="533F5A6A" w14:textId="77777777" w:rsidR="00AB3475" w:rsidRDefault="00AB3475">
      <w:pPr>
        <w:pStyle w:val="BodyText"/>
        <w:spacing w:before="38"/>
      </w:pPr>
    </w:p>
    <w:p w14:paraId="533F5A6B" w14:textId="77777777" w:rsidR="00AB3475" w:rsidRDefault="00A853B3" w:rsidP="00372A58">
      <w:pPr>
        <w:pStyle w:val="Heading2"/>
        <w:numPr>
          <w:ilvl w:val="0"/>
          <w:numId w:val="19"/>
        </w:numPr>
        <w:tabs>
          <w:tab w:val="left" w:pos="765"/>
        </w:tabs>
      </w:pPr>
      <w:r>
        <w:t>Member-borne</w:t>
      </w:r>
      <w:r>
        <w:rPr>
          <w:spacing w:val="-10"/>
        </w:rPr>
        <w:t xml:space="preserve"> </w:t>
      </w:r>
      <w:r>
        <w:t>Charges</w:t>
      </w:r>
      <w:r>
        <w:rPr>
          <w:spacing w:val="-7"/>
        </w:rPr>
        <w:t xml:space="preserve"> </w:t>
      </w:r>
      <w:r>
        <w:t>and</w:t>
      </w:r>
      <w:r>
        <w:rPr>
          <w:spacing w:val="-7"/>
        </w:rPr>
        <w:t xml:space="preserve"> </w:t>
      </w:r>
      <w:r>
        <w:t>Transaction</w:t>
      </w:r>
      <w:r>
        <w:rPr>
          <w:spacing w:val="-10"/>
        </w:rPr>
        <w:t xml:space="preserve"> </w:t>
      </w:r>
      <w:r>
        <w:rPr>
          <w:spacing w:val="-4"/>
        </w:rPr>
        <w:t>Costs</w:t>
      </w:r>
    </w:p>
    <w:p w14:paraId="533F5A6C" w14:textId="09C427B1" w:rsidR="00AB3475" w:rsidRDefault="00A853B3">
      <w:pPr>
        <w:pStyle w:val="BodyText"/>
        <w:spacing w:before="242"/>
        <w:ind w:left="199" w:right="555"/>
        <w:jc w:val="both"/>
      </w:pPr>
      <w:r>
        <w:t>The</w:t>
      </w:r>
      <w:r>
        <w:rPr>
          <w:spacing w:val="-16"/>
        </w:rPr>
        <w:t xml:space="preserve"> </w:t>
      </w:r>
      <w:r>
        <w:t>Trustee</w:t>
      </w:r>
      <w:r>
        <w:rPr>
          <w:spacing w:val="-15"/>
        </w:rPr>
        <w:t xml:space="preserve"> </w:t>
      </w:r>
      <w:r>
        <w:t>must</w:t>
      </w:r>
      <w:r>
        <w:rPr>
          <w:spacing w:val="-15"/>
        </w:rPr>
        <w:t xml:space="preserve"> </w:t>
      </w:r>
      <w:r>
        <w:t>report</w:t>
      </w:r>
      <w:r>
        <w:rPr>
          <w:spacing w:val="-15"/>
        </w:rPr>
        <w:t xml:space="preserve"> </w:t>
      </w:r>
      <w:r>
        <w:t>the</w:t>
      </w:r>
      <w:r>
        <w:rPr>
          <w:spacing w:val="-13"/>
        </w:rPr>
        <w:t xml:space="preserve"> </w:t>
      </w:r>
      <w:r>
        <w:t>level</w:t>
      </w:r>
      <w:r>
        <w:rPr>
          <w:spacing w:val="-15"/>
        </w:rPr>
        <w:t xml:space="preserve"> </w:t>
      </w:r>
      <w:r>
        <w:t>of</w:t>
      </w:r>
      <w:r>
        <w:rPr>
          <w:spacing w:val="-13"/>
        </w:rPr>
        <w:t xml:space="preserve"> </w:t>
      </w:r>
      <w:r>
        <w:t>charges</w:t>
      </w:r>
      <w:r>
        <w:rPr>
          <w:spacing w:val="-16"/>
        </w:rPr>
        <w:t xml:space="preserve"> </w:t>
      </w:r>
      <w:r>
        <w:t>and</w:t>
      </w:r>
      <w:r>
        <w:rPr>
          <w:spacing w:val="-15"/>
        </w:rPr>
        <w:t xml:space="preserve"> </w:t>
      </w:r>
      <w:r>
        <w:t>costs</w:t>
      </w:r>
      <w:r>
        <w:rPr>
          <w:spacing w:val="-14"/>
        </w:rPr>
        <w:t xml:space="preserve"> </w:t>
      </w:r>
      <w:r>
        <w:t>borne</w:t>
      </w:r>
      <w:r>
        <w:rPr>
          <w:spacing w:val="-16"/>
        </w:rPr>
        <w:t xml:space="preserve"> </w:t>
      </w:r>
      <w:r>
        <w:t>by</w:t>
      </w:r>
      <w:r>
        <w:rPr>
          <w:spacing w:val="-15"/>
        </w:rPr>
        <w:t xml:space="preserve"> </w:t>
      </w:r>
      <w:r>
        <w:t>members</w:t>
      </w:r>
      <w:r>
        <w:rPr>
          <w:spacing w:val="-15"/>
        </w:rPr>
        <w:t xml:space="preserve"> </w:t>
      </w:r>
      <w:r>
        <w:t>through</w:t>
      </w:r>
      <w:r>
        <w:rPr>
          <w:spacing w:val="-16"/>
        </w:rPr>
        <w:t xml:space="preserve"> </w:t>
      </w:r>
      <w:r>
        <w:t>the</w:t>
      </w:r>
      <w:r>
        <w:rPr>
          <w:spacing w:val="-13"/>
        </w:rPr>
        <w:t xml:space="preserve"> </w:t>
      </w:r>
      <w:r>
        <w:t xml:space="preserve">investment funds during </w:t>
      </w:r>
      <w:r w:rsidR="003B29DD">
        <w:t>the Fund</w:t>
      </w:r>
      <w:r>
        <w:t xml:space="preserve"> Year. These comprise:</w:t>
      </w:r>
    </w:p>
    <w:p w14:paraId="533F5A6D" w14:textId="77777777" w:rsidR="00AB3475" w:rsidRDefault="00AB3475">
      <w:pPr>
        <w:pStyle w:val="BodyText"/>
        <w:spacing w:before="1"/>
      </w:pPr>
    </w:p>
    <w:p w14:paraId="533F5A6E" w14:textId="77777777" w:rsidR="00AB3475" w:rsidRDefault="00A853B3">
      <w:pPr>
        <w:pStyle w:val="ListParagraph"/>
        <w:numPr>
          <w:ilvl w:val="0"/>
          <w:numId w:val="5"/>
        </w:numPr>
        <w:tabs>
          <w:tab w:val="left" w:pos="766"/>
        </w:tabs>
        <w:spacing w:line="237" w:lineRule="auto"/>
        <w:ind w:right="558"/>
        <w:jc w:val="both"/>
      </w:pPr>
      <w:r>
        <w:t>Charges – which represent the explicit costs associated with operating and managing a members’ account or policy.</w:t>
      </w:r>
    </w:p>
    <w:p w14:paraId="533F5A6F" w14:textId="77777777" w:rsidR="00AB3475" w:rsidRDefault="00AB3475">
      <w:pPr>
        <w:pStyle w:val="BodyText"/>
        <w:spacing w:before="5"/>
      </w:pPr>
    </w:p>
    <w:p w14:paraId="533F5A70" w14:textId="77777777" w:rsidR="00AB3475" w:rsidRDefault="00A853B3">
      <w:pPr>
        <w:pStyle w:val="ListParagraph"/>
        <w:numPr>
          <w:ilvl w:val="0"/>
          <w:numId w:val="5"/>
        </w:numPr>
        <w:tabs>
          <w:tab w:val="left" w:pos="766"/>
        </w:tabs>
        <w:spacing w:line="237" w:lineRule="auto"/>
        <w:ind w:right="558"/>
        <w:jc w:val="both"/>
      </w:pPr>
      <w:r>
        <w:t>Transaction</w:t>
      </w:r>
      <w:r>
        <w:rPr>
          <w:spacing w:val="-5"/>
        </w:rPr>
        <w:t xml:space="preserve"> </w:t>
      </w:r>
      <w:r>
        <w:t>costs,</w:t>
      </w:r>
      <w:r>
        <w:rPr>
          <w:spacing w:val="-4"/>
        </w:rPr>
        <w:t xml:space="preserve"> </w:t>
      </w:r>
      <w:r>
        <w:t>which</w:t>
      </w:r>
      <w:r>
        <w:rPr>
          <w:spacing w:val="-5"/>
        </w:rPr>
        <w:t xml:space="preserve"> </w:t>
      </w:r>
      <w:r>
        <w:t>are</w:t>
      </w:r>
      <w:r>
        <w:rPr>
          <w:spacing w:val="-5"/>
        </w:rPr>
        <w:t xml:space="preserve"> </w:t>
      </w:r>
      <w:r>
        <w:t>incurred</w:t>
      </w:r>
      <w:r>
        <w:rPr>
          <w:spacing w:val="-5"/>
        </w:rPr>
        <w:t xml:space="preserve"> </w:t>
      </w:r>
      <w:r>
        <w:t>when</w:t>
      </w:r>
      <w:r>
        <w:rPr>
          <w:spacing w:val="-5"/>
        </w:rPr>
        <w:t xml:space="preserve"> </w:t>
      </w:r>
      <w:r>
        <w:t>the</w:t>
      </w:r>
      <w:r>
        <w:rPr>
          <w:spacing w:val="-7"/>
        </w:rPr>
        <w:t xml:space="preserve"> </w:t>
      </w:r>
      <w:r>
        <w:t>fund</w:t>
      </w:r>
      <w:r>
        <w:rPr>
          <w:spacing w:val="-5"/>
        </w:rPr>
        <w:t xml:space="preserve"> </w:t>
      </w:r>
      <w:r>
        <w:t>manager</w:t>
      </w:r>
      <w:r>
        <w:rPr>
          <w:spacing w:val="-6"/>
        </w:rPr>
        <w:t xml:space="preserve"> </w:t>
      </w:r>
      <w:r>
        <w:t>buys</w:t>
      </w:r>
      <w:r>
        <w:rPr>
          <w:spacing w:val="-5"/>
        </w:rPr>
        <w:t xml:space="preserve"> </w:t>
      </w:r>
      <w:r>
        <w:t>and</w:t>
      </w:r>
      <w:r>
        <w:rPr>
          <w:spacing w:val="-5"/>
        </w:rPr>
        <w:t xml:space="preserve"> </w:t>
      </w:r>
      <w:r>
        <w:t>sells</w:t>
      </w:r>
      <w:r>
        <w:rPr>
          <w:spacing w:val="-5"/>
        </w:rPr>
        <w:t xml:space="preserve"> </w:t>
      </w:r>
      <w:r>
        <w:t>assets</w:t>
      </w:r>
      <w:r>
        <w:rPr>
          <w:spacing w:val="-5"/>
        </w:rPr>
        <w:t xml:space="preserve"> </w:t>
      </w:r>
      <w:r>
        <w:t>within investment</w:t>
      </w:r>
      <w:r>
        <w:rPr>
          <w:spacing w:val="-7"/>
        </w:rPr>
        <w:t xml:space="preserve"> </w:t>
      </w:r>
      <w:r>
        <w:t>funds.</w:t>
      </w:r>
      <w:r>
        <w:rPr>
          <w:spacing w:val="40"/>
        </w:rPr>
        <w:t xml:space="preserve"> </w:t>
      </w:r>
      <w:r>
        <w:t>These</w:t>
      </w:r>
      <w:r>
        <w:rPr>
          <w:spacing w:val="-9"/>
        </w:rPr>
        <w:t xml:space="preserve"> </w:t>
      </w:r>
      <w:r>
        <w:t>are</w:t>
      </w:r>
      <w:r>
        <w:rPr>
          <w:spacing w:val="-8"/>
        </w:rPr>
        <w:t xml:space="preserve"> </w:t>
      </w:r>
      <w:r>
        <w:t>implicit</w:t>
      </w:r>
      <w:r>
        <w:rPr>
          <w:spacing w:val="-3"/>
        </w:rPr>
        <w:t xml:space="preserve"> </w:t>
      </w:r>
      <w:r>
        <w:t>and</w:t>
      </w:r>
      <w:r>
        <w:rPr>
          <w:spacing w:val="-6"/>
        </w:rPr>
        <w:t xml:space="preserve"> </w:t>
      </w:r>
      <w:r>
        <w:t>are</w:t>
      </w:r>
      <w:r>
        <w:rPr>
          <w:spacing w:val="-9"/>
        </w:rPr>
        <w:t xml:space="preserve"> </w:t>
      </w:r>
      <w:r>
        <w:t>reflected</w:t>
      </w:r>
      <w:r>
        <w:rPr>
          <w:spacing w:val="-7"/>
        </w:rPr>
        <w:t xml:space="preserve"> </w:t>
      </w:r>
      <w:r>
        <w:t>in</w:t>
      </w:r>
      <w:r>
        <w:rPr>
          <w:spacing w:val="-9"/>
        </w:rPr>
        <w:t xml:space="preserve"> </w:t>
      </w:r>
      <w:r>
        <w:t>the</w:t>
      </w:r>
      <w:r>
        <w:rPr>
          <w:spacing w:val="-7"/>
        </w:rPr>
        <w:t xml:space="preserve"> </w:t>
      </w:r>
      <w:r>
        <w:t>unit</w:t>
      </w:r>
      <w:r>
        <w:rPr>
          <w:spacing w:val="-5"/>
        </w:rPr>
        <w:t xml:space="preserve"> </w:t>
      </w:r>
      <w:r>
        <w:t>price</w:t>
      </w:r>
      <w:r>
        <w:rPr>
          <w:spacing w:val="-6"/>
        </w:rPr>
        <w:t xml:space="preserve"> </w:t>
      </w:r>
      <w:r>
        <w:t>of</w:t>
      </w:r>
      <w:r>
        <w:rPr>
          <w:spacing w:val="-7"/>
        </w:rPr>
        <w:t xml:space="preserve"> </w:t>
      </w:r>
      <w:r>
        <w:t>funds,</w:t>
      </w:r>
      <w:r>
        <w:rPr>
          <w:spacing w:val="-5"/>
        </w:rPr>
        <w:t xml:space="preserve"> </w:t>
      </w:r>
      <w:r>
        <w:t>or</w:t>
      </w:r>
      <w:r>
        <w:rPr>
          <w:spacing w:val="-8"/>
        </w:rPr>
        <w:t xml:space="preserve"> </w:t>
      </w:r>
      <w:r>
        <w:t>the</w:t>
      </w:r>
      <w:r>
        <w:rPr>
          <w:spacing w:val="-9"/>
        </w:rPr>
        <w:t xml:space="preserve"> </w:t>
      </w:r>
      <w:r>
        <w:t>fund value quoted for With Profits funds.</w:t>
      </w:r>
    </w:p>
    <w:p w14:paraId="533F5A71" w14:textId="77777777" w:rsidR="00AB3475" w:rsidRDefault="00AB3475">
      <w:pPr>
        <w:pStyle w:val="BodyText"/>
        <w:spacing w:before="2"/>
      </w:pPr>
    </w:p>
    <w:p w14:paraId="533F5A72" w14:textId="77777777" w:rsidR="00AB3475" w:rsidRDefault="00A853B3">
      <w:pPr>
        <w:pStyle w:val="BodyText"/>
        <w:spacing w:before="1"/>
        <w:ind w:left="199" w:right="556"/>
        <w:jc w:val="both"/>
      </w:pPr>
      <w:r>
        <w:t>The Trustee is also required to produce an illustration of the cumulative effect of the costs and charges on members’ retirement fund values as required following the Occupational Pension Schemes (Administration and Disclosure) (Amendment) Regulations 2018.</w:t>
      </w:r>
    </w:p>
    <w:p w14:paraId="533F5A73" w14:textId="77777777" w:rsidR="00AB3475" w:rsidRDefault="00AB3475">
      <w:pPr>
        <w:pStyle w:val="BodyText"/>
      </w:pPr>
    </w:p>
    <w:p w14:paraId="533F5A74" w14:textId="36BCE0EF" w:rsidR="00AB3475" w:rsidRDefault="00A853B3">
      <w:pPr>
        <w:pStyle w:val="BodyText"/>
        <w:ind w:left="199" w:right="556"/>
        <w:jc w:val="both"/>
      </w:pPr>
      <w:r>
        <w:t xml:space="preserve">The Trustee has taken </w:t>
      </w:r>
      <w:r w:rsidRPr="00BC1ABC">
        <w:t>account of the statutory guidance when compiling the information in this section, which uses</w:t>
      </w:r>
      <w:r w:rsidRPr="00BC1ABC">
        <w:rPr>
          <w:spacing w:val="-11"/>
        </w:rPr>
        <w:t xml:space="preserve"> </w:t>
      </w:r>
      <w:r w:rsidRPr="00BC1ABC">
        <w:t>the</w:t>
      </w:r>
      <w:r w:rsidRPr="00BC1ABC">
        <w:rPr>
          <w:spacing w:val="-14"/>
        </w:rPr>
        <w:t xml:space="preserve"> </w:t>
      </w:r>
      <w:r w:rsidR="00B32BF5" w:rsidRPr="00BC1ABC">
        <w:t>median fund value</w:t>
      </w:r>
      <w:r w:rsidR="00386EA1" w:rsidRPr="00BC1ABC">
        <w:t xml:space="preserve"> and the age of the youngest member in the Fund.</w:t>
      </w:r>
      <w:r w:rsidR="00386EA1">
        <w:t xml:space="preserve">  </w:t>
      </w:r>
    </w:p>
    <w:p w14:paraId="533F5A75" w14:textId="77777777" w:rsidR="00AB3475" w:rsidRDefault="00AB3475">
      <w:pPr>
        <w:pStyle w:val="BodyText"/>
      </w:pPr>
    </w:p>
    <w:p w14:paraId="533F5A76" w14:textId="77777777" w:rsidR="00AB3475" w:rsidRDefault="00A853B3">
      <w:pPr>
        <w:pStyle w:val="BodyText"/>
        <w:ind w:left="199" w:right="556"/>
        <w:jc w:val="both"/>
      </w:pPr>
      <w:r>
        <w:t>Except</w:t>
      </w:r>
      <w:r>
        <w:rPr>
          <w:spacing w:val="-4"/>
        </w:rPr>
        <w:t xml:space="preserve"> </w:t>
      </w:r>
      <w:r>
        <w:t>as</w:t>
      </w:r>
      <w:r>
        <w:rPr>
          <w:spacing w:val="-5"/>
        </w:rPr>
        <w:t xml:space="preserve"> </w:t>
      </w:r>
      <w:r>
        <w:t>stated</w:t>
      </w:r>
      <w:r>
        <w:rPr>
          <w:spacing w:val="-5"/>
        </w:rPr>
        <w:t xml:space="preserve"> </w:t>
      </w:r>
      <w:r>
        <w:t>below,</w:t>
      </w:r>
      <w:r>
        <w:rPr>
          <w:spacing w:val="-6"/>
        </w:rPr>
        <w:t xml:space="preserve"> </w:t>
      </w:r>
      <w:r>
        <w:t>all</w:t>
      </w:r>
      <w:r>
        <w:rPr>
          <w:spacing w:val="-6"/>
        </w:rPr>
        <w:t xml:space="preserve"> </w:t>
      </w:r>
      <w:r>
        <w:t>costs</w:t>
      </w:r>
      <w:r>
        <w:rPr>
          <w:spacing w:val="-6"/>
        </w:rPr>
        <w:t xml:space="preserve"> </w:t>
      </w:r>
      <w:r>
        <w:t>and</w:t>
      </w:r>
      <w:r>
        <w:rPr>
          <w:spacing w:val="-5"/>
        </w:rPr>
        <w:t xml:space="preserve"> </w:t>
      </w:r>
      <w:r>
        <w:t>expenses</w:t>
      </w:r>
      <w:r>
        <w:rPr>
          <w:spacing w:val="-7"/>
        </w:rPr>
        <w:t xml:space="preserve"> </w:t>
      </w:r>
      <w:r>
        <w:t>relating</w:t>
      </w:r>
      <w:r>
        <w:rPr>
          <w:spacing w:val="-5"/>
        </w:rPr>
        <w:t xml:space="preserve"> </w:t>
      </w:r>
      <w:r>
        <w:t>to</w:t>
      </w:r>
      <w:r>
        <w:rPr>
          <w:spacing w:val="-7"/>
        </w:rPr>
        <w:t xml:space="preserve"> </w:t>
      </w:r>
      <w:r>
        <w:t>DC</w:t>
      </w:r>
      <w:r>
        <w:rPr>
          <w:spacing w:val="-6"/>
        </w:rPr>
        <w:t xml:space="preserve"> </w:t>
      </w:r>
      <w:r>
        <w:t>benefits</w:t>
      </w:r>
      <w:r>
        <w:rPr>
          <w:spacing w:val="-7"/>
        </w:rPr>
        <w:t xml:space="preserve"> </w:t>
      </w:r>
      <w:r>
        <w:t>(including</w:t>
      </w:r>
      <w:r>
        <w:rPr>
          <w:spacing w:val="-3"/>
        </w:rPr>
        <w:t xml:space="preserve"> </w:t>
      </w:r>
      <w:r>
        <w:t>advisory</w:t>
      </w:r>
      <w:r>
        <w:rPr>
          <w:spacing w:val="-7"/>
        </w:rPr>
        <w:t xml:space="preserve"> </w:t>
      </w:r>
      <w:r>
        <w:t>costs) are borne by the Trustee and are not passed onto members.</w:t>
      </w:r>
    </w:p>
    <w:p w14:paraId="533F5A78" w14:textId="77777777" w:rsidR="00AB3475" w:rsidRDefault="00AB3475">
      <w:pPr>
        <w:pStyle w:val="BodyText"/>
        <w:spacing w:before="173"/>
      </w:pPr>
    </w:p>
    <w:p w14:paraId="533F5A79" w14:textId="27A38B60" w:rsidR="00AB3475" w:rsidRDefault="00E0525E">
      <w:pPr>
        <w:pStyle w:val="Heading2"/>
      </w:pPr>
      <w:r>
        <w:rPr>
          <w:spacing w:val="-2"/>
        </w:rPr>
        <w:t>4A.1.</w:t>
      </w:r>
      <w:r>
        <w:rPr>
          <w:spacing w:val="-5"/>
        </w:rPr>
        <w:t xml:space="preserve"> </w:t>
      </w:r>
      <w:r>
        <w:rPr>
          <w:spacing w:val="-2"/>
        </w:rPr>
        <w:t>Defined Contribution</w:t>
      </w:r>
      <w:r>
        <w:rPr>
          <w:spacing w:val="-4"/>
        </w:rPr>
        <w:t xml:space="preserve"> </w:t>
      </w:r>
      <w:r>
        <w:rPr>
          <w:spacing w:val="-2"/>
        </w:rPr>
        <w:t>Section</w:t>
      </w:r>
    </w:p>
    <w:p w14:paraId="533F5A7A" w14:textId="3B24BC0B" w:rsidR="00AB3475" w:rsidRDefault="00A853B3">
      <w:pPr>
        <w:pStyle w:val="BodyText"/>
        <w:spacing w:before="241"/>
        <w:ind w:left="199"/>
      </w:pPr>
      <w:r>
        <w:t>Members</w:t>
      </w:r>
      <w:r>
        <w:rPr>
          <w:spacing w:val="-7"/>
        </w:rPr>
        <w:t xml:space="preserve"> </w:t>
      </w:r>
      <w:r>
        <w:t>of</w:t>
      </w:r>
      <w:r>
        <w:rPr>
          <w:spacing w:val="-3"/>
        </w:rPr>
        <w:t xml:space="preserve"> </w:t>
      </w:r>
      <w:r>
        <w:t>the</w:t>
      </w:r>
      <w:r>
        <w:rPr>
          <w:spacing w:val="-7"/>
        </w:rPr>
        <w:t xml:space="preserve"> </w:t>
      </w:r>
      <w:r w:rsidR="00E27B3F">
        <w:t>Defined Contribution</w:t>
      </w:r>
      <w:r>
        <w:rPr>
          <w:spacing w:val="-2"/>
        </w:rPr>
        <w:t xml:space="preserve"> </w:t>
      </w:r>
      <w:r>
        <w:t>section</w:t>
      </w:r>
      <w:r>
        <w:rPr>
          <w:spacing w:val="-5"/>
        </w:rPr>
        <w:t xml:space="preserve"> </w:t>
      </w:r>
      <w:r>
        <w:t>pay</w:t>
      </w:r>
      <w:r>
        <w:rPr>
          <w:spacing w:val="-9"/>
        </w:rPr>
        <w:t xml:space="preserve"> </w:t>
      </w:r>
      <w:r>
        <w:t>the</w:t>
      </w:r>
      <w:r>
        <w:rPr>
          <w:spacing w:val="-7"/>
        </w:rPr>
        <w:t xml:space="preserve"> </w:t>
      </w:r>
      <w:r>
        <w:t>following</w:t>
      </w:r>
      <w:r>
        <w:rPr>
          <w:spacing w:val="-3"/>
        </w:rPr>
        <w:t xml:space="preserve"> </w:t>
      </w:r>
      <w:r>
        <w:rPr>
          <w:spacing w:val="-2"/>
        </w:rPr>
        <w:t>charges:</w:t>
      </w:r>
    </w:p>
    <w:p w14:paraId="533F5A7B" w14:textId="77777777" w:rsidR="00AB3475" w:rsidRDefault="00AB3475">
      <w:pPr>
        <w:pStyle w:val="BodyText"/>
      </w:pPr>
    </w:p>
    <w:p w14:paraId="533F5A7C" w14:textId="6F68394F" w:rsidR="00AB3475" w:rsidRDefault="00A853B3">
      <w:pPr>
        <w:pStyle w:val="ListParagraph"/>
        <w:numPr>
          <w:ilvl w:val="0"/>
          <w:numId w:val="4"/>
        </w:numPr>
        <w:tabs>
          <w:tab w:val="left" w:pos="698"/>
        </w:tabs>
        <w:ind w:right="554"/>
        <w:jc w:val="both"/>
      </w:pPr>
      <w:r>
        <w:t>an administration charge (the annual management charge (“AMC”)) which covers the cost of</w:t>
      </w:r>
      <w:r>
        <w:rPr>
          <w:spacing w:val="-6"/>
        </w:rPr>
        <w:t xml:space="preserve"> </w:t>
      </w:r>
      <w:r>
        <w:t>running</w:t>
      </w:r>
      <w:r>
        <w:rPr>
          <w:spacing w:val="-10"/>
        </w:rPr>
        <w:t xml:space="preserve"> </w:t>
      </w:r>
      <w:r>
        <w:t>their</w:t>
      </w:r>
      <w:r>
        <w:rPr>
          <w:spacing w:val="-11"/>
        </w:rPr>
        <w:t xml:space="preserve"> </w:t>
      </w:r>
      <w:r>
        <w:t>policy</w:t>
      </w:r>
      <w:r>
        <w:rPr>
          <w:spacing w:val="-10"/>
        </w:rPr>
        <w:t xml:space="preserve"> </w:t>
      </w:r>
      <w:r>
        <w:t>–</w:t>
      </w:r>
      <w:r>
        <w:rPr>
          <w:spacing w:val="-10"/>
        </w:rPr>
        <w:t xml:space="preserve"> </w:t>
      </w:r>
      <w:r>
        <w:t>this</w:t>
      </w:r>
      <w:r>
        <w:rPr>
          <w:spacing w:val="-9"/>
        </w:rPr>
        <w:t xml:space="preserve"> </w:t>
      </w:r>
      <w:r>
        <w:t>is</w:t>
      </w:r>
      <w:r>
        <w:rPr>
          <w:spacing w:val="-9"/>
        </w:rPr>
        <w:t xml:space="preserve"> </w:t>
      </w:r>
      <w:r>
        <w:t>met</w:t>
      </w:r>
      <w:r>
        <w:rPr>
          <w:spacing w:val="-8"/>
        </w:rPr>
        <w:t xml:space="preserve"> </w:t>
      </w:r>
      <w:r>
        <w:t>by</w:t>
      </w:r>
      <w:r>
        <w:rPr>
          <w:spacing w:val="-12"/>
        </w:rPr>
        <w:t xml:space="preserve"> </w:t>
      </w:r>
      <w:r>
        <w:t>cancelling</w:t>
      </w:r>
      <w:r>
        <w:rPr>
          <w:spacing w:val="-8"/>
        </w:rPr>
        <w:t xml:space="preserve"> </w:t>
      </w:r>
      <w:r>
        <w:t>units</w:t>
      </w:r>
      <w:r w:rsidR="003634A7">
        <w:t xml:space="preserve"> </w:t>
      </w:r>
      <w:r w:rsidR="00512581">
        <w:t>each month</w:t>
      </w:r>
      <w:r w:rsidR="003634A7">
        <w:t xml:space="preserve"> </w:t>
      </w:r>
      <w:r>
        <w:t>as</w:t>
      </w:r>
      <w:r>
        <w:rPr>
          <w:spacing w:val="-10"/>
        </w:rPr>
        <w:t xml:space="preserve"> </w:t>
      </w:r>
      <w:r>
        <w:t>shown</w:t>
      </w:r>
      <w:r>
        <w:rPr>
          <w:spacing w:val="-10"/>
        </w:rPr>
        <w:t xml:space="preserve"> </w:t>
      </w:r>
      <w:r>
        <w:t>on</w:t>
      </w:r>
      <w:r>
        <w:rPr>
          <w:spacing w:val="-9"/>
        </w:rPr>
        <w:t xml:space="preserve"> </w:t>
      </w:r>
      <w:r>
        <w:t>members’</w:t>
      </w:r>
      <w:r>
        <w:rPr>
          <w:spacing w:val="-9"/>
        </w:rPr>
        <w:t xml:space="preserve"> </w:t>
      </w:r>
      <w:r>
        <w:t>annual</w:t>
      </w:r>
      <w:r>
        <w:rPr>
          <w:spacing w:val="-11"/>
        </w:rPr>
        <w:t xml:space="preserve"> </w:t>
      </w:r>
      <w:r>
        <w:t>benefit statements and transaction history;</w:t>
      </w:r>
    </w:p>
    <w:p w14:paraId="533F5A7D" w14:textId="77777777" w:rsidR="00AB3475" w:rsidRDefault="00A853B3">
      <w:pPr>
        <w:pStyle w:val="ListParagraph"/>
        <w:numPr>
          <w:ilvl w:val="0"/>
          <w:numId w:val="4"/>
        </w:numPr>
        <w:tabs>
          <w:tab w:val="left" w:pos="725"/>
          <w:tab w:val="left" w:pos="727"/>
        </w:tabs>
        <w:spacing w:before="252"/>
        <w:ind w:left="727" w:right="554" w:hanging="171"/>
        <w:jc w:val="both"/>
      </w:pPr>
      <w:r>
        <w:t>a</w:t>
      </w:r>
      <w:r>
        <w:rPr>
          <w:spacing w:val="-11"/>
        </w:rPr>
        <w:t xml:space="preserve"> </w:t>
      </w:r>
      <w:r>
        <w:t>fund</w:t>
      </w:r>
      <w:r>
        <w:rPr>
          <w:spacing w:val="-14"/>
        </w:rPr>
        <w:t xml:space="preserve"> </w:t>
      </w:r>
      <w:r>
        <w:t>management</w:t>
      </w:r>
      <w:r>
        <w:rPr>
          <w:spacing w:val="-10"/>
        </w:rPr>
        <w:t xml:space="preserve"> </w:t>
      </w:r>
      <w:r>
        <w:t>charge</w:t>
      </w:r>
      <w:r>
        <w:rPr>
          <w:spacing w:val="-11"/>
        </w:rPr>
        <w:t xml:space="preserve"> </w:t>
      </w:r>
      <w:r>
        <w:t>(“FMC”)</w:t>
      </w:r>
      <w:r>
        <w:rPr>
          <w:spacing w:val="-8"/>
        </w:rPr>
        <w:t xml:space="preserve"> </w:t>
      </w:r>
      <w:r>
        <w:t>which</w:t>
      </w:r>
      <w:r>
        <w:rPr>
          <w:spacing w:val="-9"/>
        </w:rPr>
        <w:t xml:space="preserve"> </w:t>
      </w:r>
      <w:r>
        <w:t>covers</w:t>
      </w:r>
      <w:r>
        <w:rPr>
          <w:spacing w:val="-13"/>
        </w:rPr>
        <w:t xml:space="preserve"> </w:t>
      </w:r>
      <w:r>
        <w:t>the</w:t>
      </w:r>
      <w:r>
        <w:rPr>
          <w:spacing w:val="-12"/>
        </w:rPr>
        <w:t xml:space="preserve"> </w:t>
      </w:r>
      <w:r>
        <w:t>cost</w:t>
      </w:r>
      <w:r>
        <w:rPr>
          <w:spacing w:val="-10"/>
        </w:rPr>
        <w:t xml:space="preserve"> </w:t>
      </w:r>
      <w:r>
        <w:t>of</w:t>
      </w:r>
      <w:r>
        <w:rPr>
          <w:spacing w:val="-10"/>
        </w:rPr>
        <w:t xml:space="preserve"> </w:t>
      </w:r>
      <w:r>
        <w:t>managing</w:t>
      </w:r>
      <w:r>
        <w:rPr>
          <w:spacing w:val="-9"/>
        </w:rPr>
        <w:t xml:space="preserve"> </w:t>
      </w:r>
      <w:r>
        <w:t>the</w:t>
      </w:r>
      <w:r>
        <w:rPr>
          <w:spacing w:val="-11"/>
        </w:rPr>
        <w:t xml:space="preserve"> </w:t>
      </w:r>
      <w:r>
        <w:t>fund(s)</w:t>
      </w:r>
      <w:r>
        <w:rPr>
          <w:spacing w:val="-10"/>
        </w:rPr>
        <w:t xml:space="preserve"> </w:t>
      </w:r>
      <w:r>
        <w:t>in</w:t>
      </w:r>
      <w:r>
        <w:rPr>
          <w:spacing w:val="-9"/>
        </w:rPr>
        <w:t xml:space="preserve"> </w:t>
      </w:r>
      <w:r>
        <w:t>which members are invested, including any additional expenses disclosed by the fund manager. This is met by adjusting the unit price of the funds members invest in (so it’s not shown separately on members’ annual benefit statements or transaction history).</w:t>
      </w:r>
    </w:p>
    <w:p w14:paraId="533F5A7E" w14:textId="77777777" w:rsidR="00AB3475" w:rsidRDefault="00A853B3">
      <w:pPr>
        <w:pStyle w:val="BodyText"/>
        <w:spacing w:before="252"/>
        <w:ind w:left="199" w:right="517"/>
      </w:pPr>
      <w:r>
        <w:t>The</w:t>
      </w:r>
      <w:r>
        <w:rPr>
          <w:spacing w:val="19"/>
        </w:rPr>
        <w:t xml:space="preserve"> </w:t>
      </w:r>
      <w:r>
        <w:t>Total</w:t>
      </w:r>
      <w:r>
        <w:rPr>
          <w:spacing w:val="23"/>
        </w:rPr>
        <w:t xml:space="preserve"> </w:t>
      </w:r>
      <w:r>
        <w:t>Expense</w:t>
      </w:r>
      <w:r>
        <w:rPr>
          <w:spacing w:val="24"/>
        </w:rPr>
        <w:t xml:space="preserve"> </w:t>
      </w:r>
      <w:r>
        <w:t>Ratio</w:t>
      </w:r>
      <w:r>
        <w:rPr>
          <w:spacing w:val="25"/>
        </w:rPr>
        <w:t xml:space="preserve"> </w:t>
      </w:r>
      <w:r>
        <w:t>(“TER”)</w:t>
      </w:r>
      <w:r>
        <w:rPr>
          <w:spacing w:val="23"/>
        </w:rPr>
        <w:t xml:space="preserve"> </w:t>
      </w:r>
      <w:r>
        <w:t>is</w:t>
      </w:r>
      <w:r>
        <w:rPr>
          <w:spacing w:val="22"/>
        </w:rPr>
        <w:t xml:space="preserve"> </w:t>
      </w:r>
      <w:r>
        <w:t>the</w:t>
      </w:r>
      <w:r>
        <w:rPr>
          <w:spacing w:val="22"/>
        </w:rPr>
        <w:t xml:space="preserve"> </w:t>
      </w:r>
      <w:r>
        <w:t>term</w:t>
      </w:r>
      <w:r>
        <w:rPr>
          <w:spacing w:val="26"/>
        </w:rPr>
        <w:t xml:space="preserve"> </w:t>
      </w:r>
      <w:r>
        <w:t>used</w:t>
      </w:r>
      <w:r>
        <w:rPr>
          <w:spacing w:val="24"/>
        </w:rPr>
        <w:t xml:space="preserve"> </w:t>
      </w:r>
      <w:r>
        <w:t>to</w:t>
      </w:r>
      <w:r>
        <w:rPr>
          <w:spacing w:val="22"/>
        </w:rPr>
        <w:t xml:space="preserve"> </w:t>
      </w:r>
      <w:r>
        <w:t>describe</w:t>
      </w:r>
      <w:r>
        <w:rPr>
          <w:spacing w:val="22"/>
        </w:rPr>
        <w:t xml:space="preserve"> </w:t>
      </w:r>
      <w:r>
        <w:t>the</w:t>
      </w:r>
      <w:r>
        <w:rPr>
          <w:spacing w:val="22"/>
        </w:rPr>
        <w:t xml:space="preserve"> </w:t>
      </w:r>
      <w:r>
        <w:t>total</w:t>
      </w:r>
      <w:r>
        <w:rPr>
          <w:spacing w:val="21"/>
        </w:rPr>
        <w:t xml:space="preserve"> </w:t>
      </w:r>
      <w:r>
        <w:t>of</w:t>
      </w:r>
      <w:r>
        <w:rPr>
          <w:spacing w:val="28"/>
        </w:rPr>
        <w:t xml:space="preserve"> </w:t>
      </w:r>
      <w:r>
        <w:t>all</w:t>
      </w:r>
      <w:r>
        <w:rPr>
          <w:spacing w:val="24"/>
        </w:rPr>
        <w:t xml:space="preserve"> </w:t>
      </w:r>
      <w:r>
        <w:t>explicit</w:t>
      </w:r>
      <w:r>
        <w:rPr>
          <w:spacing w:val="26"/>
        </w:rPr>
        <w:t xml:space="preserve"> </w:t>
      </w:r>
      <w:r>
        <w:t>charges members pay.</w:t>
      </w:r>
      <w:r>
        <w:rPr>
          <w:spacing w:val="40"/>
        </w:rPr>
        <w:t xml:space="preserve"> </w:t>
      </w:r>
      <w:r>
        <w:t>This is made up of the AMC and FMC.</w:t>
      </w:r>
    </w:p>
    <w:p w14:paraId="533F5A7F" w14:textId="1E2F8426" w:rsidR="00AB3475" w:rsidRDefault="00A853B3">
      <w:pPr>
        <w:pStyle w:val="BodyText"/>
        <w:spacing w:before="252"/>
        <w:ind w:left="199"/>
      </w:pPr>
      <w:r>
        <w:t>Members</w:t>
      </w:r>
      <w:r>
        <w:rPr>
          <w:spacing w:val="-5"/>
        </w:rPr>
        <w:t xml:space="preserve"> </w:t>
      </w:r>
      <w:r>
        <w:t>also</w:t>
      </w:r>
      <w:r>
        <w:rPr>
          <w:spacing w:val="-4"/>
        </w:rPr>
        <w:t xml:space="preserve"> </w:t>
      </w:r>
      <w:r>
        <w:t>bear</w:t>
      </w:r>
      <w:r>
        <w:rPr>
          <w:spacing w:val="-5"/>
        </w:rPr>
        <w:t xml:space="preserve"> </w:t>
      </w:r>
      <w:r>
        <w:t>transaction</w:t>
      </w:r>
      <w:r>
        <w:rPr>
          <w:spacing w:val="-4"/>
        </w:rPr>
        <w:t xml:space="preserve"> </w:t>
      </w:r>
      <w:r>
        <w:t>costs</w:t>
      </w:r>
      <w:r>
        <w:rPr>
          <w:spacing w:val="-2"/>
        </w:rPr>
        <w:t>.</w:t>
      </w:r>
    </w:p>
    <w:p w14:paraId="533F5A80" w14:textId="77777777" w:rsidR="00AB3475" w:rsidRDefault="00AB3475">
      <w:pPr>
        <w:pStyle w:val="BodyText"/>
      </w:pPr>
    </w:p>
    <w:p w14:paraId="533F5A81" w14:textId="4AD4B42D" w:rsidR="00AB3475" w:rsidRDefault="00A853B3">
      <w:pPr>
        <w:pStyle w:val="BodyText"/>
        <w:spacing w:before="1"/>
        <w:ind w:left="199" w:right="555"/>
        <w:jc w:val="both"/>
      </w:pPr>
      <w:r>
        <w:t>The table below</w:t>
      </w:r>
      <w:r>
        <w:rPr>
          <w:spacing w:val="-1"/>
        </w:rPr>
        <w:t xml:space="preserve"> </w:t>
      </w:r>
      <w:r>
        <w:t xml:space="preserve">shows the explicit costs (the AMC and the FMC) and implicit costs (transaction costs) on funds held through the </w:t>
      </w:r>
      <w:r w:rsidR="00E27B3F">
        <w:t>Defined Contribution</w:t>
      </w:r>
      <w:r>
        <w:t xml:space="preserve"> section as at 31 </w:t>
      </w:r>
      <w:r w:rsidR="000F1267">
        <w:t>December</w:t>
      </w:r>
      <w:r>
        <w:t xml:space="preserve"> 2024.</w:t>
      </w:r>
      <w:r>
        <w:rPr>
          <w:spacing w:val="40"/>
        </w:rPr>
        <w:t xml:space="preserve"> </w:t>
      </w:r>
      <w:r>
        <w:t>These have been provided by L&amp;G.</w:t>
      </w:r>
    </w:p>
    <w:p w14:paraId="533F5A82" w14:textId="77777777" w:rsidR="00AB3475" w:rsidRDefault="00AB3475">
      <w:pPr>
        <w:pStyle w:val="BodyText"/>
        <w:spacing w:before="36"/>
      </w:pPr>
    </w:p>
    <w:p w14:paraId="533F5A83" w14:textId="21DBF50B" w:rsidR="00AB3475" w:rsidRDefault="00A853B3">
      <w:pPr>
        <w:pStyle w:val="BodyText"/>
        <w:ind w:left="199" w:right="557"/>
        <w:jc w:val="both"/>
      </w:pPr>
      <w:r>
        <w:t>The</w:t>
      </w:r>
      <w:r>
        <w:rPr>
          <w:spacing w:val="-9"/>
        </w:rPr>
        <w:t xml:space="preserve"> </w:t>
      </w:r>
      <w:r>
        <w:t>TER</w:t>
      </w:r>
      <w:r>
        <w:rPr>
          <w:spacing w:val="-7"/>
        </w:rPr>
        <w:t xml:space="preserve"> </w:t>
      </w:r>
      <w:r>
        <w:t>on</w:t>
      </w:r>
      <w:r>
        <w:rPr>
          <w:spacing w:val="-7"/>
        </w:rPr>
        <w:t xml:space="preserve"> </w:t>
      </w:r>
      <w:r>
        <w:t>the</w:t>
      </w:r>
      <w:r>
        <w:rPr>
          <w:spacing w:val="-7"/>
        </w:rPr>
        <w:t xml:space="preserve"> </w:t>
      </w:r>
      <w:r>
        <w:t>default</w:t>
      </w:r>
      <w:r>
        <w:rPr>
          <w:spacing w:val="-5"/>
        </w:rPr>
        <w:t xml:space="preserve"> </w:t>
      </w:r>
      <w:r>
        <w:t>arrangement</w:t>
      </w:r>
      <w:r>
        <w:rPr>
          <w:spacing w:val="-7"/>
        </w:rPr>
        <w:t xml:space="preserve"> </w:t>
      </w:r>
      <w:r>
        <w:t>(the</w:t>
      </w:r>
      <w:r>
        <w:rPr>
          <w:spacing w:val="-7"/>
        </w:rPr>
        <w:t xml:space="preserve"> </w:t>
      </w:r>
      <w:r>
        <w:t>L&amp;G</w:t>
      </w:r>
      <w:r>
        <w:rPr>
          <w:spacing w:val="-3"/>
        </w:rPr>
        <w:t xml:space="preserve"> </w:t>
      </w:r>
      <w:r>
        <w:t>PMC</w:t>
      </w:r>
      <w:r>
        <w:rPr>
          <w:spacing w:val="-7"/>
        </w:rPr>
        <w:t xml:space="preserve"> </w:t>
      </w:r>
      <w:r>
        <w:t>Target</w:t>
      </w:r>
      <w:r>
        <w:rPr>
          <w:spacing w:val="-5"/>
        </w:rPr>
        <w:t xml:space="preserve"> </w:t>
      </w:r>
      <w:r>
        <w:t>Date</w:t>
      </w:r>
      <w:r>
        <w:rPr>
          <w:spacing w:val="-5"/>
        </w:rPr>
        <w:t xml:space="preserve"> </w:t>
      </w:r>
      <w:r>
        <w:t>Funds</w:t>
      </w:r>
      <w:r>
        <w:rPr>
          <w:spacing w:val="-6"/>
        </w:rPr>
        <w:t xml:space="preserve"> </w:t>
      </w:r>
      <w:r>
        <w:t>3)</w:t>
      </w:r>
      <w:r>
        <w:rPr>
          <w:spacing w:val="-6"/>
        </w:rPr>
        <w:t xml:space="preserve"> </w:t>
      </w:r>
      <w:r w:rsidRPr="0038553B">
        <w:t>is</w:t>
      </w:r>
      <w:r w:rsidRPr="0038553B">
        <w:rPr>
          <w:spacing w:val="-5"/>
        </w:rPr>
        <w:t xml:space="preserve"> </w:t>
      </w:r>
      <w:r w:rsidRPr="0038553B">
        <w:t>0.</w:t>
      </w:r>
      <w:r w:rsidR="0038553B" w:rsidRPr="0038553B">
        <w:t>19</w:t>
      </w:r>
      <w:r w:rsidRPr="0038553B">
        <w:t>%</w:t>
      </w:r>
      <w:r>
        <w:rPr>
          <w:spacing w:val="-6"/>
        </w:rPr>
        <w:t xml:space="preserve"> </w:t>
      </w:r>
      <w:r>
        <w:t>p.a.</w:t>
      </w:r>
      <w:r>
        <w:rPr>
          <w:spacing w:val="-8"/>
        </w:rPr>
        <w:t xml:space="preserve"> </w:t>
      </w:r>
      <w:r>
        <w:t>which</w:t>
      </w:r>
      <w:r>
        <w:rPr>
          <w:spacing w:val="-6"/>
        </w:rPr>
        <w:t xml:space="preserve"> </w:t>
      </w:r>
      <w:r>
        <w:t>is well below the statutory charge cap of 0.75%.</w:t>
      </w:r>
    </w:p>
    <w:p w14:paraId="533F5A84" w14:textId="77777777" w:rsidR="00AB3475" w:rsidRDefault="00AB3475">
      <w:pPr>
        <w:pStyle w:val="BodyText"/>
        <w:spacing w:before="23"/>
        <w:rPr>
          <w:sz w:val="20"/>
        </w:rPr>
      </w:pPr>
    </w:p>
    <w:p w14:paraId="533F5AB6" w14:textId="77777777" w:rsidR="00AB3475" w:rsidRDefault="00AB3475">
      <w:pPr>
        <w:pStyle w:val="BodyText"/>
        <w:spacing w:before="1"/>
      </w:pPr>
    </w:p>
    <w:tbl>
      <w:tblPr>
        <w:tblW w:w="9694"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8"/>
        <w:gridCol w:w="1304"/>
        <w:gridCol w:w="1304"/>
        <w:gridCol w:w="1304"/>
        <w:gridCol w:w="1304"/>
      </w:tblGrid>
      <w:tr w:rsidR="00392697" w14:paraId="0085E54E" w14:textId="77777777" w:rsidTr="00EE5AEF">
        <w:trPr>
          <w:trHeight w:val="312"/>
        </w:trPr>
        <w:tc>
          <w:tcPr>
            <w:tcW w:w="4478" w:type="dxa"/>
            <w:shd w:val="clear" w:color="auto" w:fill="CE8D95"/>
          </w:tcPr>
          <w:p w14:paraId="3E6ACBB5" w14:textId="2AA15877" w:rsidR="00BB3DF5" w:rsidRDefault="00BB3DF5" w:rsidP="00392697">
            <w:pPr>
              <w:pStyle w:val="TableParagraph"/>
              <w:spacing w:before="100" w:beforeAutospacing="1" w:after="100" w:afterAutospacing="1"/>
              <w:ind w:left="4"/>
              <w:contextualSpacing/>
              <w:rPr>
                <w:b/>
                <w:sz w:val="20"/>
              </w:rPr>
            </w:pPr>
            <w:r>
              <w:rPr>
                <w:b/>
                <w:sz w:val="20"/>
              </w:rPr>
              <w:t>Table 4</w:t>
            </w:r>
          </w:p>
          <w:p w14:paraId="3A0552A1" w14:textId="0F9ABDAA" w:rsidR="00392697" w:rsidRDefault="00392697" w:rsidP="00392697">
            <w:pPr>
              <w:pStyle w:val="TableParagraph"/>
              <w:spacing w:before="100" w:beforeAutospacing="1" w:after="100" w:afterAutospacing="1"/>
              <w:ind w:left="4"/>
              <w:contextualSpacing/>
              <w:rPr>
                <w:sz w:val="20"/>
              </w:rPr>
            </w:pPr>
            <w:r>
              <w:rPr>
                <w:b/>
                <w:sz w:val="20"/>
              </w:rPr>
              <w:t>Fund</w:t>
            </w:r>
            <w:r>
              <w:rPr>
                <w:b/>
                <w:spacing w:val="-5"/>
                <w:sz w:val="20"/>
              </w:rPr>
              <w:t xml:space="preserve"> </w:t>
            </w:r>
            <w:r>
              <w:rPr>
                <w:b/>
                <w:spacing w:val="-4"/>
                <w:sz w:val="20"/>
              </w:rPr>
              <w:t>name</w:t>
            </w:r>
          </w:p>
        </w:tc>
        <w:tc>
          <w:tcPr>
            <w:tcW w:w="1304" w:type="dxa"/>
            <w:tcBorders>
              <w:bottom w:val="single" w:sz="4" w:space="0" w:color="000000"/>
            </w:tcBorders>
            <w:shd w:val="clear" w:color="auto" w:fill="CE8D95"/>
          </w:tcPr>
          <w:p w14:paraId="793FBB08" w14:textId="0C94B787" w:rsidR="00392697" w:rsidRPr="00B81408" w:rsidRDefault="00392697" w:rsidP="00392697">
            <w:pPr>
              <w:pStyle w:val="TableParagraph"/>
              <w:spacing w:before="100" w:beforeAutospacing="1" w:after="100" w:afterAutospacing="1"/>
              <w:ind w:left="16" w:right="6"/>
              <w:contextualSpacing/>
              <w:jc w:val="center"/>
              <w:rPr>
                <w:spacing w:val="-4"/>
                <w:sz w:val="20"/>
                <w:highlight w:val="lightGray"/>
              </w:rPr>
            </w:pPr>
            <w:r>
              <w:rPr>
                <w:b/>
                <w:spacing w:val="-4"/>
                <w:sz w:val="18"/>
              </w:rPr>
              <w:t xml:space="preserve">AMC </w:t>
            </w:r>
            <w:r>
              <w:rPr>
                <w:b/>
                <w:spacing w:val="-2"/>
                <w:sz w:val="18"/>
              </w:rPr>
              <w:t>(%</w:t>
            </w:r>
            <w:r>
              <w:rPr>
                <w:b/>
                <w:spacing w:val="-11"/>
                <w:sz w:val="18"/>
              </w:rPr>
              <w:t xml:space="preserve"> </w:t>
            </w:r>
            <w:r>
              <w:rPr>
                <w:b/>
                <w:spacing w:val="-2"/>
                <w:sz w:val="18"/>
              </w:rPr>
              <w:t>p.a.)</w:t>
            </w:r>
          </w:p>
        </w:tc>
        <w:tc>
          <w:tcPr>
            <w:tcW w:w="1304" w:type="dxa"/>
            <w:tcBorders>
              <w:bottom w:val="single" w:sz="4" w:space="0" w:color="000000"/>
            </w:tcBorders>
            <w:shd w:val="clear" w:color="auto" w:fill="CE8D95"/>
          </w:tcPr>
          <w:p w14:paraId="1CF72C3A" w14:textId="4051792E" w:rsidR="00392697" w:rsidRPr="00B81408" w:rsidRDefault="00392697" w:rsidP="00392697">
            <w:pPr>
              <w:pStyle w:val="TableParagraph"/>
              <w:spacing w:before="100" w:beforeAutospacing="1" w:after="100" w:afterAutospacing="1"/>
              <w:ind w:left="10" w:right="1"/>
              <w:contextualSpacing/>
              <w:jc w:val="center"/>
              <w:rPr>
                <w:sz w:val="20"/>
                <w:highlight w:val="lightGray"/>
              </w:rPr>
            </w:pPr>
            <w:r>
              <w:rPr>
                <w:b/>
                <w:spacing w:val="-4"/>
                <w:sz w:val="18"/>
              </w:rPr>
              <w:t xml:space="preserve">FMC </w:t>
            </w:r>
            <w:r>
              <w:rPr>
                <w:b/>
                <w:spacing w:val="-2"/>
                <w:sz w:val="18"/>
              </w:rPr>
              <w:t>(%</w:t>
            </w:r>
            <w:r>
              <w:rPr>
                <w:b/>
                <w:spacing w:val="-11"/>
                <w:sz w:val="18"/>
              </w:rPr>
              <w:t xml:space="preserve"> </w:t>
            </w:r>
            <w:r>
              <w:rPr>
                <w:b/>
                <w:spacing w:val="-2"/>
                <w:sz w:val="18"/>
              </w:rPr>
              <w:t>p.a.)</w:t>
            </w:r>
          </w:p>
        </w:tc>
        <w:tc>
          <w:tcPr>
            <w:tcW w:w="1304" w:type="dxa"/>
            <w:tcBorders>
              <w:bottom w:val="single" w:sz="4" w:space="0" w:color="000000"/>
            </w:tcBorders>
            <w:shd w:val="clear" w:color="auto" w:fill="CE8D95"/>
          </w:tcPr>
          <w:p w14:paraId="51686C89" w14:textId="10A2A9F6" w:rsidR="00392697" w:rsidRPr="00B81408" w:rsidRDefault="0B0D95AF" w:rsidP="70CA713C">
            <w:pPr>
              <w:pStyle w:val="TableParagraph"/>
              <w:spacing w:before="100" w:beforeAutospacing="1" w:after="100" w:afterAutospacing="1"/>
              <w:ind w:left="10" w:right="1"/>
              <w:contextualSpacing/>
              <w:jc w:val="center"/>
              <w:rPr>
                <w:sz w:val="20"/>
                <w:szCs w:val="20"/>
                <w:highlight w:val="lightGray"/>
              </w:rPr>
            </w:pPr>
            <w:r w:rsidRPr="70CA713C">
              <w:rPr>
                <w:b/>
                <w:bCs/>
                <w:sz w:val="18"/>
                <w:szCs w:val="18"/>
              </w:rPr>
              <w:t xml:space="preserve">Transaction </w:t>
            </w:r>
            <w:r w:rsidRPr="70CA713C">
              <w:rPr>
                <w:b/>
                <w:bCs/>
                <w:spacing w:val="-2"/>
                <w:sz w:val="18"/>
                <w:szCs w:val="18"/>
              </w:rPr>
              <w:t xml:space="preserve">costs (% </w:t>
            </w:r>
            <w:r w:rsidRPr="70CA713C">
              <w:rPr>
                <w:b/>
                <w:bCs/>
                <w:sz w:val="18"/>
                <w:szCs w:val="18"/>
              </w:rPr>
              <w:t>p.a.)</w:t>
            </w:r>
          </w:p>
        </w:tc>
        <w:tc>
          <w:tcPr>
            <w:tcW w:w="1304" w:type="dxa"/>
            <w:tcBorders>
              <w:bottom w:val="single" w:sz="4" w:space="0" w:color="000000"/>
            </w:tcBorders>
            <w:shd w:val="clear" w:color="auto" w:fill="CE8D95"/>
          </w:tcPr>
          <w:p w14:paraId="4B5F0A73" w14:textId="3CBA16E7" w:rsidR="00392697" w:rsidRDefault="00392697" w:rsidP="00392697">
            <w:pPr>
              <w:pStyle w:val="TableParagraph"/>
              <w:spacing w:line="278" w:lineRule="auto"/>
              <w:ind w:left="48" w:right="39"/>
              <w:jc w:val="center"/>
              <w:rPr>
                <w:b/>
                <w:sz w:val="18"/>
              </w:rPr>
            </w:pPr>
            <w:r>
              <w:rPr>
                <w:b/>
                <w:sz w:val="18"/>
              </w:rPr>
              <w:t xml:space="preserve">Total costs </w:t>
            </w:r>
            <w:r>
              <w:rPr>
                <w:b/>
                <w:spacing w:val="-2"/>
                <w:sz w:val="18"/>
              </w:rPr>
              <w:t>and</w:t>
            </w:r>
            <w:r>
              <w:rPr>
                <w:b/>
                <w:spacing w:val="-11"/>
                <w:sz w:val="18"/>
              </w:rPr>
              <w:t xml:space="preserve"> </w:t>
            </w:r>
            <w:r>
              <w:rPr>
                <w:b/>
                <w:spacing w:val="-2"/>
                <w:sz w:val="18"/>
              </w:rPr>
              <w:t>charges</w:t>
            </w:r>
          </w:p>
          <w:p w14:paraId="2E1897D7" w14:textId="1820AD94" w:rsidR="00392697" w:rsidRPr="00B81408" w:rsidRDefault="00392697" w:rsidP="00392697">
            <w:pPr>
              <w:pStyle w:val="TableParagraph"/>
              <w:spacing w:before="100" w:beforeAutospacing="1" w:after="100" w:afterAutospacing="1"/>
              <w:ind w:left="10" w:right="1"/>
              <w:contextualSpacing/>
              <w:jc w:val="center"/>
              <w:rPr>
                <w:sz w:val="20"/>
                <w:highlight w:val="lightGray"/>
              </w:rPr>
            </w:pPr>
            <w:r>
              <w:rPr>
                <w:b/>
                <w:sz w:val="18"/>
              </w:rPr>
              <w:t>(%</w:t>
            </w:r>
            <w:r>
              <w:rPr>
                <w:b/>
                <w:spacing w:val="-12"/>
                <w:sz w:val="18"/>
              </w:rPr>
              <w:t xml:space="preserve"> </w:t>
            </w:r>
            <w:r>
              <w:rPr>
                <w:b/>
                <w:spacing w:val="-2"/>
                <w:sz w:val="18"/>
              </w:rPr>
              <w:t>p.a.)</w:t>
            </w:r>
          </w:p>
        </w:tc>
      </w:tr>
      <w:tr w:rsidR="00392697" w14:paraId="671AA877" w14:textId="5A35CCFF" w:rsidTr="00110A31">
        <w:trPr>
          <w:trHeight w:val="312"/>
        </w:trPr>
        <w:tc>
          <w:tcPr>
            <w:tcW w:w="4478" w:type="dxa"/>
          </w:tcPr>
          <w:p w14:paraId="1EA854CF" w14:textId="3F454D25" w:rsidR="00392697" w:rsidRDefault="00392697" w:rsidP="00392697">
            <w:pPr>
              <w:pStyle w:val="TableParagraph"/>
              <w:spacing w:before="100" w:beforeAutospacing="1" w:after="100" w:afterAutospacing="1"/>
              <w:ind w:left="4"/>
              <w:contextualSpacing/>
              <w:rPr>
                <w:sz w:val="20"/>
              </w:rPr>
            </w:pPr>
            <w:r>
              <w:rPr>
                <w:sz w:val="20"/>
              </w:rPr>
              <w:t>L&amp;G</w:t>
            </w:r>
            <w:r>
              <w:rPr>
                <w:spacing w:val="-3"/>
                <w:sz w:val="20"/>
              </w:rPr>
              <w:t xml:space="preserve"> </w:t>
            </w:r>
            <w:r>
              <w:rPr>
                <w:sz w:val="20"/>
              </w:rPr>
              <w:t>PMC</w:t>
            </w:r>
            <w:r>
              <w:rPr>
                <w:spacing w:val="-7"/>
                <w:sz w:val="20"/>
              </w:rPr>
              <w:t xml:space="preserve"> </w:t>
            </w:r>
            <w:r>
              <w:rPr>
                <w:sz w:val="20"/>
              </w:rPr>
              <w:t>Target</w:t>
            </w:r>
            <w:r>
              <w:rPr>
                <w:spacing w:val="-7"/>
                <w:sz w:val="20"/>
              </w:rPr>
              <w:t xml:space="preserve"> </w:t>
            </w:r>
            <w:r>
              <w:rPr>
                <w:sz w:val="20"/>
              </w:rPr>
              <w:t>Date</w:t>
            </w:r>
            <w:r>
              <w:rPr>
                <w:spacing w:val="-8"/>
                <w:sz w:val="20"/>
              </w:rPr>
              <w:t xml:space="preserve"> </w:t>
            </w:r>
            <w:r>
              <w:rPr>
                <w:sz w:val="20"/>
              </w:rPr>
              <w:t>Funds</w:t>
            </w:r>
            <w:r>
              <w:rPr>
                <w:spacing w:val="-6"/>
                <w:sz w:val="20"/>
              </w:rPr>
              <w:t xml:space="preserve"> </w:t>
            </w:r>
            <w:r>
              <w:rPr>
                <w:sz w:val="20"/>
              </w:rPr>
              <w:t>3</w:t>
            </w:r>
            <w:r>
              <w:rPr>
                <w:spacing w:val="-6"/>
                <w:sz w:val="20"/>
              </w:rPr>
              <w:t xml:space="preserve"> </w:t>
            </w:r>
            <w:r>
              <w:rPr>
                <w:b/>
                <w:sz w:val="20"/>
              </w:rPr>
              <w:t>(the</w:t>
            </w:r>
            <w:r>
              <w:rPr>
                <w:b/>
                <w:spacing w:val="-7"/>
                <w:sz w:val="20"/>
              </w:rPr>
              <w:t xml:space="preserve"> </w:t>
            </w:r>
            <w:r>
              <w:rPr>
                <w:b/>
                <w:sz w:val="20"/>
              </w:rPr>
              <w:t xml:space="preserve">default </w:t>
            </w:r>
            <w:r>
              <w:rPr>
                <w:b/>
                <w:spacing w:val="-2"/>
                <w:sz w:val="20"/>
              </w:rPr>
              <w:t>arrangement)</w:t>
            </w:r>
          </w:p>
        </w:tc>
        <w:tc>
          <w:tcPr>
            <w:tcW w:w="1304" w:type="dxa"/>
            <w:vAlign w:val="center"/>
          </w:tcPr>
          <w:p w14:paraId="3ACA5374" w14:textId="73188394" w:rsidR="00392697" w:rsidRPr="00B81408" w:rsidRDefault="00392697" w:rsidP="00110A31">
            <w:pPr>
              <w:pStyle w:val="TableParagraph"/>
              <w:spacing w:before="100" w:beforeAutospacing="1" w:after="100" w:afterAutospacing="1"/>
              <w:ind w:left="16" w:right="6"/>
              <w:contextualSpacing/>
              <w:jc w:val="center"/>
              <w:rPr>
                <w:sz w:val="20"/>
                <w:highlight w:val="lightGray"/>
              </w:rPr>
            </w:pPr>
            <w:r>
              <w:rPr>
                <w:sz w:val="20"/>
              </w:rPr>
              <w:t>0.04</w:t>
            </w:r>
          </w:p>
        </w:tc>
        <w:tc>
          <w:tcPr>
            <w:tcW w:w="1304" w:type="dxa"/>
            <w:vAlign w:val="center"/>
          </w:tcPr>
          <w:p w14:paraId="7EF06333" w14:textId="63C28E15" w:rsidR="00392697" w:rsidRPr="00B81408" w:rsidRDefault="00392697" w:rsidP="00110A31">
            <w:pPr>
              <w:pStyle w:val="TableParagraph"/>
              <w:spacing w:before="100" w:beforeAutospacing="1" w:after="100" w:afterAutospacing="1"/>
              <w:ind w:left="10" w:right="1"/>
              <w:contextualSpacing/>
              <w:jc w:val="center"/>
              <w:rPr>
                <w:sz w:val="20"/>
                <w:highlight w:val="lightGray"/>
              </w:rPr>
            </w:pPr>
            <w:r>
              <w:rPr>
                <w:spacing w:val="-4"/>
                <w:sz w:val="20"/>
              </w:rPr>
              <w:t>0.15</w:t>
            </w:r>
          </w:p>
        </w:tc>
        <w:tc>
          <w:tcPr>
            <w:tcW w:w="1304" w:type="dxa"/>
            <w:vAlign w:val="center"/>
          </w:tcPr>
          <w:p w14:paraId="06060DAE" w14:textId="7A698183" w:rsidR="00392697" w:rsidRPr="00110A31" w:rsidRDefault="00B7788D" w:rsidP="00110A31">
            <w:pPr>
              <w:pStyle w:val="TableParagraph"/>
              <w:spacing w:before="100" w:beforeAutospacing="1" w:after="100" w:afterAutospacing="1"/>
              <w:ind w:left="10" w:right="1"/>
              <w:contextualSpacing/>
              <w:jc w:val="center"/>
              <w:rPr>
                <w:sz w:val="20"/>
              </w:rPr>
            </w:pPr>
            <w:r w:rsidRPr="00110A31">
              <w:rPr>
                <w:spacing w:val="-2"/>
                <w:sz w:val="20"/>
              </w:rPr>
              <w:t>0.00%</w:t>
            </w:r>
          </w:p>
        </w:tc>
        <w:tc>
          <w:tcPr>
            <w:tcW w:w="1304" w:type="dxa"/>
            <w:vAlign w:val="center"/>
          </w:tcPr>
          <w:p w14:paraId="5D062A00" w14:textId="0DBCE665" w:rsidR="00392697" w:rsidRPr="00110A31" w:rsidRDefault="00B7788D" w:rsidP="00110A31">
            <w:pPr>
              <w:pStyle w:val="TableParagraph"/>
              <w:spacing w:before="100" w:beforeAutospacing="1" w:after="100" w:afterAutospacing="1"/>
              <w:ind w:left="10" w:right="1"/>
              <w:contextualSpacing/>
              <w:jc w:val="center"/>
              <w:rPr>
                <w:sz w:val="20"/>
              </w:rPr>
            </w:pPr>
            <w:r w:rsidRPr="00110A31">
              <w:rPr>
                <w:spacing w:val="-2"/>
                <w:sz w:val="20"/>
              </w:rPr>
              <w:t>0.019%</w:t>
            </w:r>
          </w:p>
        </w:tc>
      </w:tr>
      <w:tr w:rsidR="00FA2957" w14:paraId="77E327E5" w14:textId="6C635226" w:rsidTr="00423396">
        <w:trPr>
          <w:trHeight w:val="309"/>
        </w:trPr>
        <w:tc>
          <w:tcPr>
            <w:tcW w:w="4478" w:type="dxa"/>
          </w:tcPr>
          <w:p w14:paraId="67F16F89" w14:textId="77777777" w:rsidR="000F2D9C" w:rsidRDefault="000F2D9C" w:rsidP="000F2D9C">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Active</w:t>
            </w:r>
            <w:r w:rsidRPr="00C7327A">
              <w:rPr>
                <w:spacing w:val="-6"/>
                <w:sz w:val="20"/>
                <w:szCs w:val="20"/>
              </w:rPr>
              <w:t xml:space="preserve"> </w:t>
            </w:r>
            <w:r w:rsidRPr="00C7327A">
              <w:rPr>
                <w:sz w:val="20"/>
                <w:szCs w:val="20"/>
              </w:rPr>
              <w:t>Global</w:t>
            </w:r>
            <w:r w:rsidRPr="00C7327A">
              <w:rPr>
                <w:spacing w:val="-6"/>
                <w:sz w:val="20"/>
                <w:szCs w:val="20"/>
              </w:rPr>
              <w:t xml:space="preserve"> </w:t>
            </w:r>
            <w:r w:rsidRPr="00C7327A">
              <w:rPr>
                <w:sz w:val="20"/>
                <w:szCs w:val="20"/>
              </w:rPr>
              <w:t>Equity</w:t>
            </w:r>
            <w:r w:rsidRPr="00C7327A">
              <w:rPr>
                <w:spacing w:val="-4"/>
                <w:sz w:val="20"/>
                <w:szCs w:val="20"/>
              </w:rPr>
              <w:t xml:space="preserve"> Fund</w:t>
            </w:r>
          </w:p>
        </w:tc>
        <w:tc>
          <w:tcPr>
            <w:tcW w:w="1304" w:type="dxa"/>
            <w:tcBorders>
              <w:top w:val="single" w:sz="4" w:space="0" w:color="000000"/>
              <w:bottom w:val="single" w:sz="4" w:space="0" w:color="000000"/>
              <w:right w:val="single" w:sz="4" w:space="0" w:color="000000"/>
            </w:tcBorders>
            <w:vAlign w:val="center"/>
          </w:tcPr>
          <w:p w14:paraId="3450C1F2" w14:textId="6FE46C1B" w:rsidR="000F2D9C" w:rsidRPr="00B81408" w:rsidRDefault="000F2D9C" w:rsidP="00110A31">
            <w:pPr>
              <w:pStyle w:val="TableParagraph"/>
              <w:spacing w:before="100" w:beforeAutospacing="1" w:after="100" w:afterAutospacing="1"/>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192D3F54" w14:textId="31CB303F" w:rsidR="000F2D9C" w:rsidRPr="00110A31" w:rsidRDefault="000F2D9C" w:rsidP="00110A31">
            <w:pPr>
              <w:pStyle w:val="TableParagraph"/>
              <w:spacing w:before="100" w:beforeAutospacing="1" w:after="100" w:afterAutospacing="1"/>
              <w:ind w:left="10"/>
              <w:jc w:val="center"/>
              <w:rPr>
                <w:spacing w:val="-5"/>
                <w:sz w:val="20"/>
              </w:rPr>
            </w:pPr>
            <w:r w:rsidRPr="00110A31">
              <w:rPr>
                <w:rFonts w:ascii="Calibri" w:hAnsi="Calibri" w:cs="Calibri"/>
                <w:color w:val="000000"/>
              </w:rPr>
              <w:t>0.67%</w:t>
            </w:r>
          </w:p>
        </w:tc>
        <w:tc>
          <w:tcPr>
            <w:tcW w:w="1304" w:type="dxa"/>
            <w:tcBorders>
              <w:top w:val="single" w:sz="4" w:space="0" w:color="000000"/>
              <w:left w:val="single" w:sz="4" w:space="0" w:color="000000"/>
              <w:bottom w:val="single" w:sz="4" w:space="0" w:color="000000"/>
              <w:right w:val="single" w:sz="4" w:space="0" w:color="000000"/>
            </w:tcBorders>
            <w:vAlign w:val="center"/>
          </w:tcPr>
          <w:p w14:paraId="5C5C12B1" w14:textId="6609C6DD" w:rsidR="000F2D9C" w:rsidRPr="00110A31" w:rsidRDefault="000F2D9C" w:rsidP="00110A31">
            <w:pPr>
              <w:pStyle w:val="TableParagraph"/>
              <w:spacing w:before="100" w:beforeAutospacing="1" w:after="100" w:afterAutospacing="1"/>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39536468" w14:textId="54DFB648" w:rsidR="000F2D9C" w:rsidRPr="00110A31" w:rsidRDefault="000F2D9C" w:rsidP="00110A31">
            <w:pPr>
              <w:pStyle w:val="TableParagraph"/>
              <w:spacing w:before="100" w:beforeAutospacing="1" w:after="100" w:afterAutospacing="1"/>
              <w:ind w:left="10"/>
              <w:jc w:val="center"/>
              <w:rPr>
                <w:spacing w:val="-5"/>
                <w:sz w:val="20"/>
              </w:rPr>
            </w:pPr>
            <w:r w:rsidRPr="00110A31">
              <w:rPr>
                <w:rFonts w:ascii="Calibri" w:hAnsi="Calibri" w:cs="Calibri"/>
                <w:color w:val="000000"/>
              </w:rPr>
              <w:t>0.71%</w:t>
            </w:r>
          </w:p>
        </w:tc>
      </w:tr>
      <w:tr w:rsidR="00FA2957" w14:paraId="7079DAE7" w14:textId="6C6F87C4" w:rsidTr="00423396">
        <w:trPr>
          <w:trHeight w:val="309"/>
        </w:trPr>
        <w:tc>
          <w:tcPr>
            <w:tcW w:w="4478" w:type="dxa"/>
          </w:tcPr>
          <w:p w14:paraId="607E66BD" w14:textId="77777777" w:rsidR="000F2D9C" w:rsidRDefault="000F2D9C" w:rsidP="000F2D9C">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Positive</w:t>
            </w:r>
            <w:r w:rsidRPr="00C7327A">
              <w:rPr>
                <w:spacing w:val="-6"/>
                <w:sz w:val="20"/>
                <w:szCs w:val="20"/>
              </w:rPr>
              <w:t xml:space="preserve"> </w:t>
            </w:r>
            <w:r w:rsidRPr="00C7327A">
              <w:rPr>
                <w:sz w:val="20"/>
                <w:szCs w:val="20"/>
              </w:rPr>
              <w:t>Change</w:t>
            </w:r>
            <w:r w:rsidRPr="00C7327A">
              <w:rPr>
                <w:spacing w:val="-5"/>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6C3845E3" w14:textId="29142B64"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45DDFE84" w14:textId="5B06B315"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0.53%</w:t>
            </w:r>
          </w:p>
        </w:tc>
        <w:tc>
          <w:tcPr>
            <w:tcW w:w="1304" w:type="dxa"/>
            <w:tcBorders>
              <w:top w:val="single" w:sz="4" w:space="0" w:color="000000"/>
              <w:left w:val="single" w:sz="4" w:space="0" w:color="000000"/>
              <w:bottom w:val="single" w:sz="4" w:space="0" w:color="000000"/>
              <w:right w:val="single" w:sz="4" w:space="0" w:color="000000"/>
            </w:tcBorders>
            <w:vAlign w:val="center"/>
          </w:tcPr>
          <w:p w14:paraId="0278FA74" w14:textId="201EE886"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0DB8591A" w14:textId="2560D089"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0.57%</w:t>
            </w:r>
          </w:p>
        </w:tc>
      </w:tr>
      <w:tr w:rsidR="00FA2957" w14:paraId="4F7958E4" w14:textId="47C430F1" w:rsidTr="00423396">
        <w:trPr>
          <w:trHeight w:val="309"/>
        </w:trPr>
        <w:tc>
          <w:tcPr>
            <w:tcW w:w="4478" w:type="dxa"/>
          </w:tcPr>
          <w:p w14:paraId="0DCFBEAA" w14:textId="77777777" w:rsidR="000F2D9C" w:rsidRDefault="000F2D9C" w:rsidP="000F2D9C">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UK</w:t>
            </w:r>
            <w:r w:rsidRPr="00C7327A">
              <w:rPr>
                <w:spacing w:val="-5"/>
                <w:sz w:val="20"/>
                <w:szCs w:val="20"/>
              </w:rPr>
              <w:t xml:space="preserve"> </w:t>
            </w:r>
            <w:r w:rsidRPr="00C7327A">
              <w:rPr>
                <w:sz w:val="20"/>
                <w:szCs w:val="20"/>
              </w:rPr>
              <w:t>Smaller</w:t>
            </w:r>
            <w:r w:rsidRPr="00C7327A">
              <w:rPr>
                <w:spacing w:val="-5"/>
                <w:sz w:val="20"/>
                <w:szCs w:val="20"/>
              </w:rPr>
              <w:t xml:space="preserve"> </w:t>
            </w:r>
            <w:r w:rsidRPr="00C7327A">
              <w:rPr>
                <w:sz w:val="20"/>
                <w:szCs w:val="20"/>
              </w:rPr>
              <w:t>Companies</w:t>
            </w:r>
            <w:r w:rsidRPr="00C7327A">
              <w:rPr>
                <w:spacing w:val="-4"/>
                <w:sz w:val="20"/>
                <w:szCs w:val="20"/>
              </w:rPr>
              <w:t xml:space="preserve"> Fund</w:t>
            </w:r>
          </w:p>
        </w:tc>
        <w:tc>
          <w:tcPr>
            <w:tcW w:w="1304" w:type="dxa"/>
            <w:tcBorders>
              <w:top w:val="single" w:sz="4" w:space="0" w:color="000000"/>
              <w:bottom w:val="single" w:sz="4" w:space="0" w:color="000000"/>
              <w:right w:val="single" w:sz="4" w:space="0" w:color="000000"/>
            </w:tcBorders>
            <w:vAlign w:val="center"/>
          </w:tcPr>
          <w:p w14:paraId="75D24537" w14:textId="05D15E3E"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1EB6376F" w14:textId="2B11106F"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0.22%</w:t>
            </w:r>
          </w:p>
        </w:tc>
        <w:tc>
          <w:tcPr>
            <w:tcW w:w="1304" w:type="dxa"/>
            <w:tcBorders>
              <w:top w:val="single" w:sz="4" w:space="0" w:color="000000"/>
              <w:left w:val="single" w:sz="4" w:space="0" w:color="000000"/>
              <w:bottom w:val="single" w:sz="4" w:space="0" w:color="000000"/>
              <w:right w:val="single" w:sz="4" w:space="0" w:color="000000"/>
            </w:tcBorders>
            <w:vAlign w:val="center"/>
          </w:tcPr>
          <w:p w14:paraId="0936211F" w14:textId="5CCB2728"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4C966F1B" w14:textId="0E2CCC39"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0.26%</w:t>
            </w:r>
          </w:p>
        </w:tc>
      </w:tr>
      <w:tr w:rsidR="00FA2957" w14:paraId="55DF7CC8" w14:textId="1103A571" w:rsidTr="00423396">
        <w:trPr>
          <w:trHeight w:val="309"/>
        </w:trPr>
        <w:tc>
          <w:tcPr>
            <w:tcW w:w="4478" w:type="dxa"/>
          </w:tcPr>
          <w:p w14:paraId="7D540C2D" w14:textId="77777777" w:rsidR="000F2D9C" w:rsidRDefault="000F2D9C" w:rsidP="000F2D9C">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6"/>
                <w:sz w:val="20"/>
                <w:szCs w:val="20"/>
              </w:rPr>
              <w:t xml:space="preserve"> </w:t>
            </w:r>
            <w:r w:rsidRPr="00C7327A">
              <w:rPr>
                <w:sz w:val="20"/>
                <w:szCs w:val="20"/>
              </w:rPr>
              <w:t>General</w:t>
            </w:r>
            <w:r w:rsidRPr="00C7327A">
              <w:rPr>
                <w:spacing w:val="-7"/>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Active</w:t>
            </w:r>
            <w:r w:rsidRPr="00C7327A">
              <w:rPr>
                <w:spacing w:val="-7"/>
                <w:sz w:val="20"/>
                <w:szCs w:val="20"/>
              </w:rPr>
              <w:t xml:space="preserve"> </w:t>
            </w:r>
            <w:r w:rsidRPr="00C7327A">
              <w:rPr>
                <w:sz w:val="20"/>
                <w:szCs w:val="20"/>
              </w:rPr>
              <w:t>Diversified</w:t>
            </w:r>
            <w:r w:rsidRPr="00C7327A">
              <w:rPr>
                <w:spacing w:val="-6"/>
                <w:sz w:val="20"/>
                <w:szCs w:val="20"/>
              </w:rPr>
              <w:t xml:space="preserve"> </w:t>
            </w:r>
            <w:r w:rsidRPr="00C7327A">
              <w:rPr>
                <w:sz w:val="20"/>
                <w:szCs w:val="20"/>
              </w:rPr>
              <w:t>Growth</w:t>
            </w:r>
            <w:r w:rsidRPr="00C7327A">
              <w:rPr>
                <w:spacing w:val="-5"/>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1C640306" w14:textId="4C192BDE"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43D4CD94" w14:textId="48B04A11"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0.85%</w:t>
            </w:r>
          </w:p>
        </w:tc>
        <w:tc>
          <w:tcPr>
            <w:tcW w:w="1304" w:type="dxa"/>
            <w:tcBorders>
              <w:top w:val="single" w:sz="4" w:space="0" w:color="000000"/>
              <w:left w:val="single" w:sz="4" w:space="0" w:color="000000"/>
              <w:bottom w:val="single" w:sz="4" w:space="0" w:color="000000"/>
              <w:right w:val="single" w:sz="4" w:space="0" w:color="000000"/>
            </w:tcBorders>
            <w:vAlign w:val="center"/>
          </w:tcPr>
          <w:p w14:paraId="6D92498B" w14:textId="78AA187F"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53EE9A6B" w14:textId="67A35FE0"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0.89%</w:t>
            </w:r>
          </w:p>
        </w:tc>
      </w:tr>
      <w:tr w:rsidR="00FA2957" w14:paraId="3F65822A" w14:textId="78C967E3" w:rsidTr="00423396">
        <w:trPr>
          <w:trHeight w:val="309"/>
        </w:trPr>
        <w:tc>
          <w:tcPr>
            <w:tcW w:w="4478" w:type="dxa"/>
          </w:tcPr>
          <w:p w14:paraId="79C2F293" w14:textId="77777777" w:rsidR="000F2D9C" w:rsidRDefault="000F2D9C" w:rsidP="000F2D9C">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4"/>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4"/>
                <w:sz w:val="20"/>
                <w:szCs w:val="20"/>
              </w:rPr>
              <w:t xml:space="preserve"> </w:t>
            </w:r>
            <w:r w:rsidRPr="00C7327A">
              <w:rPr>
                <w:sz w:val="20"/>
                <w:szCs w:val="20"/>
              </w:rPr>
              <w:t>Emerging</w:t>
            </w:r>
            <w:r w:rsidRPr="00C7327A">
              <w:rPr>
                <w:spacing w:val="-4"/>
                <w:sz w:val="20"/>
                <w:szCs w:val="20"/>
              </w:rPr>
              <w:t xml:space="preserve"> </w:t>
            </w:r>
            <w:r w:rsidRPr="00C7327A">
              <w:rPr>
                <w:sz w:val="20"/>
                <w:szCs w:val="20"/>
              </w:rPr>
              <w:t>Markets</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46E0DD26" w14:textId="7CB4B817"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3B90DC70" w14:textId="2E163C8D"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0.26%</w:t>
            </w:r>
          </w:p>
        </w:tc>
        <w:tc>
          <w:tcPr>
            <w:tcW w:w="1304" w:type="dxa"/>
            <w:tcBorders>
              <w:top w:val="single" w:sz="4" w:space="0" w:color="000000"/>
              <w:left w:val="single" w:sz="4" w:space="0" w:color="000000"/>
              <w:bottom w:val="single" w:sz="4" w:space="0" w:color="000000"/>
              <w:right w:val="single" w:sz="4" w:space="0" w:color="000000"/>
            </w:tcBorders>
            <w:vAlign w:val="center"/>
          </w:tcPr>
          <w:p w14:paraId="1D3EDB14" w14:textId="307AC0B7"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61A376DC" w14:textId="01A204EC"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0.30%</w:t>
            </w:r>
          </w:p>
        </w:tc>
      </w:tr>
      <w:tr w:rsidR="00FA2957" w14:paraId="354B2C1B" w14:textId="26717F4C" w:rsidTr="00423396">
        <w:trPr>
          <w:trHeight w:val="309"/>
        </w:trPr>
        <w:tc>
          <w:tcPr>
            <w:tcW w:w="4478" w:type="dxa"/>
          </w:tcPr>
          <w:p w14:paraId="343F580E" w14:textId="77777777" w:rsidR="000F2D9C" w:rsidRDefault="000F2D9C" w:rsidP="000F2D9C">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Global</w:t>
            </w:r>
            <w:r w:rsidRPr="00C7327A">
              <w:rPr>
                <w:spacing w:val="-6"/>
                <w:sz w:val="20"/>
                <w:szCs w:val="20"/>
              </w:rPr>
              <w:t xml:space="preserve"> </w:t>
            </w:r>
            <w:r w:rsidRPr="00C7327A">
              <w:rPr>
                <w:sz w:val="20"/>
                <w:szCs w:val="20"/>
              </w:rPr>
              <w:t>Fossil</w:t>
            </w:r>
            <w:r w:rsidRPr="00C7327A">
              <w:rPr>
                <w:spacing w:val="-6"/>
                <w:sz w:val="20"/>
                <w:szCs w:val="20"/>
              </w:rPr>
              <w:t xml:space="preserve"> </w:t>
            </w:r>
            <w:r w:rsidRPr="00C7327A">
              <w:rPr>
                <w:sz w:val="20"/>
                <w:szCs w:val="20"/>
              </w:rPr>
              <w:t>Fuel</w:t>
            </w:r>
            <w:r w:rsidRPr="00C7327A">
              <w:rPr>
                <w:spacing w:val="-6"/>
                <w:sz w:val="20"/>
                <w:szCs w:val="20"/>
              </w:rPr>
              <w:t xml:space="preserve"> </w:t>
            </w:r>
            <w:r w:rsidRPr="00C7327A">
              <w:rPr>
                <w:sz w:val="20"/>
                <w:szCs w:val="20"/>
              </w:rPr>
              <w:t>Exclusions</w:t>
            </w:r>
            <w:r w:rsidRPr="00C7327A">
              <w:rPr>
                <w:spacing w:val="-4"/>
                <w:sz w:val="20"/>
                <w:szCs w:val="20"/>
              </w:rPr>
              <w:t xml:space="preserve"> </w:t>
            </w:r>
            <w:r w:rsidRPr="00C7327A">
              <w:rPr>
                <w:sz w:val="20"/>
                <w:szCs w:val="20"/>
              </w:rPr>
              <w:t>Equity</w:t>
            </w:r>
            <w:r w:rsidRPr="00C7327A">
              <w:rPr>
                <w:spacing w:val="-4"/>
                <w:sz w:val="20"/>
                <w:szCs w:val="20"/>
              </w:rPr>
              <w:t xml:space="preserve"> </w:t>
            </w:r>
            <w:r w:rsidRPr="00C7327A">
              <w:rPr>
                <w:sz w:val="20"/>
                <w:szCs w:val="20"/>
              </w:rPr>
              <w:t>Index</w:t>
            </w:r>
            <w:r w:rsidRPr="00C7327A">
              <w:rPr>
                <w:spacing w:val="-5"/>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7D21DFE8" w14:textId="3C073F65"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1797CAC8" w14:textId="261DC6EA"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0.17%</w:t>
            </w:r>
          </w:p>
        </w:tc>
        <w:tc>
          <w:tcPr>
            <w:tcW w:w="1304" w:type="dxa"/>
            <w:tcBorders>
              <w:top w:val="single" w:sz="4" w:space="0" w:color="000000"/>
              <w:left w:val="single" w:sz="4" w:space="0" w:color="000000"/>
              <w:bottom w:val="single" w:sz="4" w:space="0" w:color="000000"/>
              <w:right w:val="single" w:sz="4" w:space="0" w:color="000000"/>
            </w:tcBorders>
            <w:vAlign w:val="center"/>
          </w:tcPr>
          <w:p w14:paraId="79519D9E" w14:textId="703FFAA1"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6B2D59ED" w14:textId="3FA37E78"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0.21%</w:t>
            </w:r>
          </w:p>
        </w:tc>
      </w:tr>
      <w:tr w:rsidR="00FA2957" w14:paraId="35DB0A0E" w14:textId="25469414" w:rsidTr="00423396">
        <w:trPr>
          <w:trHeight w:val="309"/>
        </w:trPr>
        <w:tc>
          <w:tcPr>
            <w:tcW w:w="4478" w:type="dxa"/>
          </w:tcPr>
          <w:p w14:paraId="1FE7CC4C" w14:textId="77777777" w:rsidR="000F2D9C" w:rsidRDefault="000F2D9C" w:rsidP="000F2D9C">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Future</w:t>
            </w:r>
            <w:r w:rsidRPr="00C7327A">
              <w:rPr>
                <w:spacing w:val="-6"/>
                <w:sz w:val="20"/>
                <w:szCs w:val="20"/>
              </w:rPr>
              <w:t xml:space="preserve"> </w:t>
            </w:r>
            <w:r w:rsidRPr="00C7327A">
              <w:rPr>
                <w:sz w:val="20"/>
                <w:szCs w:val="20"/>
              </w:rPr>
              <w:t>World</w:t>
            </w:r>
            <w:r w:rsidRPr="00C7327A">
              <w:rPr>
                <w:spacing w:val="-5"/>
                <w:sz w:val="20"/>
                <w:szCs w:val="20"/>
              </w:rPr>
              <w:t xml:space="preserve"> </w:t>
            </w:r>
            <w:r w:rsidRPr="00C7327A">
              <w:rPr>
                <w:sz w:val="20"/>
                <w:szCs w:val="20"/>
              </w:rPr>
              <w:t>Multi-Asset</w:t>
            </w:r>
            <w:r w:rsidRPr="00C7327A">
              <w:rPr>
                <w:spacing w:val="-5"/>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1A9533D6" w14:textId="7D17D509"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68F2635E" w14:textId="5F64C2BE"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0.16%</w:t>
            </w:r>
          </w:p>
        </w:tc>
        <w:tc>
          <w:tcPr>
            <w:tcW w:w="1304" w:type="dxa"/>
            <w:tcBorders>
              <w:top w:val="single" w:sz="4" w:space="0" w:color="000000"/>
              <w:left w:val="single" w:sz="4" w:space="0" w:color="000000"/>
              <w:bottom w:val="single" w:sz="4" w:space="0" w:color="000000"/>
              <w:right w:val="single" w:sz="4" w:space="0" w:color="000000"/>
            </w:tcBorders>
            <w:vAlign w:val="center"/>
          </w:tcPr>
          <w:p w14:paraId="7739BD4F" w14:textId="617EDDA2"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1FAB8A60" w14:textId="7E3785ED"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0.20%</w:t>
            </w:r>
          </w:p>
        </w:tc>
      </w:tr>
      <w:tr w:rsidR="00FA2957" w14:paraId="5F2466F0" w14:textId="0FFF1270" w:rsidTr="00423396">
        <w:trPr>
          <w:trHeight w:val="309"/>
        </w:trPr>
        <w:tc>
          <w:tcPr>
            <w:tcW w:w="4478" w:type="dxa"/>
          </w:tcPr>
          <w:p w14:paraId="2F1D8D0F" w14:textId="77777777" w:rsidR="000F2D9C" w:rsidRDefault="000F2D9C" w:rsidP="000F2D9C">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6"/>
                <w:sz w:val="20"/>
                <w:szCs w:val="20"/>
              </w:rPr>
              <w:t xml:space="preserve"> </w:t>
            </w:r>
            <w:proofErr w:type="spellStart"/>
            <w:r w:rsidRPr="00C7327A">
              <w:rPr>
                <w:sz w:val="20"/>
                <w:szCs w:val="20"/>
              </w:rPr>
              <w:t>Mastertrust</w:t>
            </w:r>
            <w:proofErr w:type="spellEnd"/>
            <w:r w:rsidRPr="00C7327A">
              <w:rPr>
                <w:spacing w:val="-6"/>
                <w:sz w:val="20"/>
                <w:szCs w:val="20"/>
              </w:rPr>
              <w:t xml:space="preserve"> </w:t>
            </w:r>
            <w:r w:rsidRPr="00C7327A">
              <w:rPr>
                <w:sz w:val="20"/>
                <w:szCs w:val="20"/>
              </w:rPr>
              <w:t>Global</w:t>
            </w:r>
            <w:r w:rsidRPr="00C7327A">
              <w:rPr>
                <w:spacing w:val="-6"/>
                <w:sz w:val="20"/>
                <w:szCs w:val="20"/>
              </w:rPr>
              <w:t xml:space="preserve"> </w:t>
            </w:r>
            <w:r w:rsidRPr="00C7327A">
              <w:rPr>
                <w:sz w:val="20"/>
                <w:szCs w:val="20"/>
              </w:rPr>
              <w:t>Developed</w:t>
            </w:r>
            <w:r w:rsidRPr="00C7327A">
              <w:rPr>
                <w:spacing w:val="-6"/>
                <w:sz w:val="20"/>
                <w:szCs w:val="20"/>
              </w:rPr>
              <w:t xml:space="preserve"> </w:t>
            </w:r>
            <w:r w:rsidRPr="00C7327A">
              <w:rPr>
                <w:sz w:val="20"/>
                <w:szCs w:val="20"/>
              </w:rPr>
              <w:t>Index</w:t>
            </w:r>
            <w:r w:rsidRPr="00C7327A">
              <w:rPr>
                <w:spacing w:val="-6"/>
                <w:sz w:val="20"/>
                <w:szCs w:val="20"/>
              </w:rPr>
              <w:t xml:space="preserve"> </w:t>
            </w:r>
            <w:r w:rsidRPr="00C7327A">
              <w:rPr>
                <w:sz w:val="20"/>
                <w:szCs w:val="20"/>
              </w:rPr>
              <w:t>Equity</w:t>
            </w:r>
            <w:r w:rsidRPr="00C7327A">
              <w:rPr>
                <w:spacing w:val="-4"/>
                <w:sz w:val="20"/>
                <w:szCs w:val="20"/>
              </w:rPr>
              <w:t xml:space="preserve"> Fund</w:t>
            </w:r>
          </w:p>
        </w:tc>
        <w:tc>
          <w:tcPr>
            <w:tcW w:w="1304" w:type="dxa"/>
            <w:tcBorders>
              <w:top w:val="single" w:sz="4" w:space="0" w:color="000000"/>
              <w:bottom w:val="single" w:sz="4" w:space="0" w:color="000000"/>
              <w:right w:val="single" w:sz="4" w:space="0" w:color="000000"/>
            </w:tcBorders>
            <w:vAlign w:val="center"/>
          </w:tcPr>
          <w:p w14:paraId="1BB9475A" w14:textId="1654C830"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2DF30570" w14:textId="378FD4A8"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0.10%</w:t>
            </w:r>
          </w:p>
        </w:tc>
        <w:tc>
          <w:tcPr>
            <w:tcW w:w="1304" w:type="dxa"/>
            <w:tcBorders>
              <w:top w:val="single" w:sz="4" w:space="0" w:color="000000"/>
              <w:left w:val="single" w:sz="4" w:space="0" w:color="000000"/>
              <w:bottom w:val="single" w:sz="4" w:space="0" w:color="000000"/>
              <w:right w:val="single" w:sz="4" w:space="0" w:color="000000"/>
            </w:tcBorders>
            <w:vAlign w:val="center"/>
          </w:tcPr>
          <w:p w14:paraId="56E53285" w14:textId="5B098676"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47731CA4" w14:textId="3319D394"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0.14%</w:t>
            </w:r>
          </w:p>
        </w:tc>
      </w:tr>
      <w:tr w:rsidR="00FA2957" w14:paraId="7A649AEB" w14:textId="02492741" w:rsidTr="00423396">
        <w:trPr>
          <w:trHeight w:val="309"/>
        </w:trPr>
        <w:tc>
          <w:tcPr>
            <w:tcW w:w="4478" w:type="dxa"/>
          </w:tcPr>
          <w:p w14:paraId="128DE972" w14:textId="77777777" w:rsidR="000F2D9C" w:rsidRDefault="000F2D9C" w:rsidP="000F2D9C">
            <w:pPr>
              <w:pStyle w:val="TableParagraph"/>
              <w:spacing w:before="40"/>
              <w:ind w:left="4"/>
              <w:rPr>
                <w:sz w:val="20"/>
              </w:rPr>
            </w:pPr>
            <w:r w:rsidRPr="00C7327A">
              <w:rPr>
                <w:sz w:val="20"/>
                <w:szCs w:val="20"/>
              </w:rPr>
              <w:t>Legal</w:t>
            </w:r>
            <w:r w:rsidRPr="00C7327A">
              <w:rPr>
                <w:spacing w:val="-6"/>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5"/>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Global</w:t>
            </w:r>
            <w:r w:rsidRPr="00C7327A">
              <w:rPr>
                <w:spacing w:val="-5"/>
                <w:sz w:val="20"/>
                <w:szCs w:val="20"/>
              </w:rPr>
              <w:t xml:space="preserve"> </w:t>
            </w:r>
            <w:r w:rsidRPr="00C7327A">
              <w:rPr>
                <w:sz w:val="20"/>
                <w:szCs w:val="20"/>
              </w:rPr>
              <w:t>Real</w:t>
            </w:r>
            <w:r w:rsidRPr="00C7327A">
              <w:rPr>
                <w:spacing w:val="-6"/>
                <w:sz w:val="20"/>
                <w:szCs w:val="20"/>
              </w:rPr>
              <w:t xml:space="preserve"> </w:t>
            </w:r>
            <w:r w:rsidRPr="00C7327A">
              <w:rPr>
                <w:sz w:val="20"/>
                <w:szCs w:val="20"/>
              </w:rPr>
              <w:t>Estate</w:t>
            </w:r>
            <w:r w:rsidRPr="00C7327A">
              <w:rPr>
                <w:spacing w:val="-5"/>
                <w:sz w:val="20"/>
                <w:szCs w:val="20"/>
              </w:rPr>
              <w:t xml:space="preserve"> </w:t>
            </w:r>
            <w:r w:rsidRPr="00C7327A">
              <w:rPr>
                <w:sz w:val="20"/>
                <w:szCs w:val="20"/>
              </w:rPr>
              <w:t>Index</w:t>
            </w:r>
            <w:r w:rsidRPr="00C7327A">
              <w:rPr>
                <w:spacing w:val="-6"/>
                <w:sz w:val="20"/>
                <w:szCs w:val="20"/>
              </w:rPr>
              <w:t xml:space="preserve"> </w:t>
            </w:r>
            <w:r w:rsidRPr="00C7327A">
              <w:rPr>
                <w:sz w:val="20"/>
                <w:szCs w:val="20"/>
              </w:rPr>
              <w:t>Equity</w:t>
            </w:r>
            <w:r w:rsidRPr="00C7327A">
              <w:rPr>
                <w:spacing w:val="-3"/>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69416F3C" w14:textId="4D908E1D"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0E55532D" w14:textId="23DDFE82"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0.19%</w:t>
            </w:r>
          </w:p>
        </w:tc>
        <w:tc>
          <w:tcPr>
            <w:tcW w:w="1304" w:type="dxa"/>
            <w:tcBorders>
              <w:top w:val="single" w:sz="4" w:space="0" w:color="000000"/>
              <w:left w:val="single" w:sz="4" w:space="0" w:color="000000"/>
              <w:bottom w:val="single" w:sz="4" w:space="0" w:color="000000"/>
              <w:right w:val="single" w:sz="4" w:space="0" w:color="000000"/>
            </w:tcBorders>
            <w:vAlign w:val="center"/>
          </w:tcPr>
          <w:p w14:paraId="4C56C6A4" w14:textId="17784B50"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4B739FB0" w14:textId="00D69FA0"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0.23%</w:t>
            </w:r>
          </w:p>
        </w:tc>
      </w:tr>
      <w:tr w:rsidR="00FA2957" w14:paraId="67F66589" w14:textId="166CBFA4" w:rsidTr="00423396">
        <w:trPr>
          <w:trHeight w:val="309"/>
        </w:trPr>
        <w:tc>
          <w:tcPr>
            <w:tcW w:w="4478" w:type="dxa"/>
          </w:tcPr>
          <w:p w14:paraId="009824B5" w14:textId="77777777" w:rsidR="000F2D9C" w:rsidRDefault="000F2D9C" w:rsidP="000F2D9C">
            <w:pPr>
              <w:pStyle w:val="TableParagraph"/>
              <w:spacing w:before="40"/>
              <w:ind w:left="4"/>
              <w:rPr>
                <w:sz w:val="20"/>
              </w:rPr>
            </w:pPr>
            <w:r w:rsidRPr="00C7327A">
              <w:rPr>
                <w:sz w:val="20"/>
                <w:szCs w:val="20"/>
              </w:rPr>
              <w:t>Legal</w:t>
            </w:r>
            <w:r w:rsidRPr="00C7327A">
              <w:rPr>
                <w:spacing w:val="-5"/>
                <w:sz w:val="20"/>
                <w:szCs w:val="20"/>
              </w:rPr>
              <w:t xml:space="preserve"> </w:t>
            </w:r>
            <w:r w:rsidRPr="00C7327A">
              <w:rPr>
                <w:sz w:val="20"/>
                <w:szCs w:val="20"/>
              </w:rPr>
              <w:t>&amp;</w:t>
            </w:r>
            <w:r w:rsidRPr="00C7327A">
              <w:rPr>
                <w:spacing w:val="-4"/>
                <w:sz w:val="20"/>
                <w:szCs w:val="20"/>
              </w:rPr>
              <w:t xml:space="preserve"> </w:t>
            </w:r>
            <w:r w:rsidRPr="00C7327A">
              <w:rPr>
                <w:sz w:val="20"/>
                <w:szCs w:val="20"/>
              </w:rPr>
              <w:t>General</w:t>
            </w:r>
            <w:r w:rsidRPr="00C7327A">
              <w:rPr>
                <w:spacing w:val="-5"/>
                <w:sz w:val="20"/>
                <w:szCs w:val="20"/>
              </w:rPr>
              <w:t xml:space="preserve"> </w:t>
            </w:r>
            <w:proofErr w:type="spellStart"/>
            <w:r w:rsidRPr="00C7327A">
              <w:rPr>
                <w:sz w:val="20"/>
                <w:szCs w:val="20"/>
              </w:rPr>
              <w:t>Mastertrust</w:t>
            </w:r>
            <w:proofErr w:type="spellEnd"/>
            <w:r w:rsidRPr="00C7327A">
              <w:rPr>
                <w:spacing w:val="-4"/>
                <w:sz w:val="20"/>
                <w:szCs w:val="20"/>
              </w:rPr>
              <w:t xml:space="preserve"> </w:t>
            </w:r>
            <w:r w:rsidRPr="00C7327A">
              <w:rPr>
                <w:sz w:val="20"/>
                <w:szCs w:val="20"/>
              </w:rPr>
              <w:t>Short</w:t>
            </w:r>
            <w:r w:rsidRPr="00C7327A">
              <w:rPr>
                <w:spacing w:val="-4"/>
                <w:sz w:val="20"/>
                <w:szCs w:val="20"/>
              </w:rPr>
              <w:t xml:space="preserve"> </w:t>
            </w:r>
            <w:r w:rsidRPr="00C7327A">
              <w:rPr>
                <w:sz w:val="20"/>
                <w:szCs w:val="20"/>
              </w:rPr>
              <w:t>Dated</w:t>
            </w:r>
            <w:r w:rsidRPr="00C7327A">
              <w:rPr>
                <w:spacing w:val="-5"/>
                <w:sz w:val="20"/>
                <w:szCs w:val="20"/>
              </w:rPr>
              <w:t xml:space="preserve"> </w:t>
            </w:r>
            <w:r w:rsidRPr="00C7327A">
              <w:rPr>
                <w:sz w:val="20"/>
                <w:szCs w:val="20"/>
              </w:rPr>
              <w:t>Bond</w:t>
            </w:r>
            <w:r w:rsidRPr="00C7327A">
              <w:rPr>
                <w:spacing w:val="-4"/>
                <w:sz w:val="20"/>
                <w:szCs w:val="20"/>
              </w:rPr>
              <w:t xml:space="preserve"> </w:t>
            </w:r>
            <w:r w:rsidRPr="00C7327A">
              <w:rPr>
                <w:sz w:val="20"/>
                <w:szCs w:val="20"/>
              </w:rPr>
              <w:t>Index</w:t>
            </w:r>
            <w:r w:rsidRPr="00C7327A">
              <w:rPr>
                <w:spacing w:val="-4"/>
                <w:sz w:val="20"/>
                <w:szCs w:val="20"/>
              </w:rPr>
              <w:t xml:space="preserve"> Fund</w:t>
            </w:r>
          </w:p>
        </w:tc>
        <w:tc>
          <w:tcPr>
            <w:tcW w:w="1304" w:type="dxa"/>
            <w:tcBorders>
              <w:top w:val="single" w:sz="4" w:space="0" w:color="000000"/>
              <w:bottom w:val="single" w:sz="4" w:space="0" w:color="000000"/>
              <w:right w:val="single" w:sz="4" w:space="0" w:color="000000"/>
            </w:tcBorders>
            <w:vAlign w:val="center"/>
          </w:tcPr>
          <w:p w14:paraId="67C4E6A1" w14:textId="3DA8BC9C"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07D09525" w14:textId="16799406"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0.12%</w:t>
            </w:r>
          </w:p>
        </w:tc>
        <w:tc>
          <w:tcPr>
            <w:tcW w:w="1304" w:type="dxa"/>
            <w:tcBorders>
              <w:top w:val="single" w:sz="4" w:space="0" w:color="000000"/>
              <w:left w:val="single" w:sz="4" w:space="0" w:color="000000"/>
              <w:bottom w:val="single" w:sz="4" w:space="0" w:color="000000"/>
              <w:right w:val="single" w:sz="4" w:space="0" w:color="000000"/>
            </w:tcBorders>
            <w:vAlign w:val="center"/>
          </w:tcPr>
          <w:p w14:paraId="66E4C6CA" w14:textId="7CEE0BDC"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0.01%</w:t>
            </w:r>
          </w:p>
        </w:tc>
        <w:tc>
          <w:tcPr>
            <w:tcW w:w="1304" w:type="dxa"/>
            <w:tcBorders>
              <w:top w:val="single" w:sz="4" w:space="0" w:color="000000"/>
              <w:left w:val="single" w:sz="4" w:space="0" w:color="000000"/>
              <w:bottom w:val="single" w:sz="4" w:space="0" w:color="000000"/>
              <w:right w:val="single" w:sz="4" w:space="0" w:color="000000"/>
            </w:tcBorders>
            <w:vAlign w:val="center"/>
          </w:tcPr>
          <w:p w14:paraId="6500AFD2" w14:textId="44B65BD8"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0.17%</w:t>
            </w:r>
          </w:p>
        </w:tc>
      </w:tr>
      <w:tr w:rsidR="00FA2957" w14:paraId="0D0F433B" w14:textId="23899D7D" w:rsidTr="00423396">
        <w:trPr>
          <w:trHeight w:val="309"/>
        </w:trPr>
        <w:tc>
          <w:tcPr>
            <w:tcW w:w="4478" w:type="dxa"/>
          </w:tcPr>
          <w:p w14:paraId="72A22257" w14:textId="77777777" w:rsidR="000F2D9C" w:rsidRDefault="000F2D9C" w:rsidP="000F2D9C">
            <w:pPr>
              <w:pStyle w:val="TableParagraph"/>
              <w:spacing w:before="40"/>
              <w:ind w:left="4"/>
              <w:rPr>
                <w:sz w:val="20"/>
              </w:rPr>
            </w:pPr>
            <w:r w:rsidRPr="00C7327A">
              <w:rPr>
                <w:sz w:val="20"/>
                <w:szCs w:val="20"/>
              </w:rPr>
              <w:t>Legal</w:t>
            </w:r>
            <w:r w:rsidRPr="00C7327A">
              <w:rPr>
                <w:spacing w:val="-7"/>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7"/>
                <w:sz w:val="20"/>
                <w:szCs w:val="20"/>
              </w:rPr>
              <w:t xml:space="preserve"> </w:t>
            </w:r>
            <w:proofErr w:type="spellStart"/>
            <w:r w:rsidRPr="00C7327A">
              <w:rPr>
                <w:sz w:val="20"/>
                <w:szCs w:val="20"/>
              </w:rPr>
              <w:t>Mastertrust</w:t>
            </w:r>
            <w:proofErr w:type="spellEnd"/>
            <w:r w:rsidRPr="00C7327A">
              <w:rPr>
                <w:spacing w:val="-5"/>
                <w:sz w:val="20"/>
                <w:szCs w:val="20"/>
              </w:rPr>
              <w:t xml:space="preserve"> </w:t>
            </w:r>
            <w:r w:rsidRPr="00C7327A">
              <w:rPr>
                <w:sz w:val="20"/>
                <w:szCs w:val="20"/>
              </w:rPr>
              <w:t>Smaller</w:t>
            </w:r>
            <w:r w:rsidRPr="00C7327A">
              <w:rPr>
                <w:spacing w:val="-6"/>
                <w:sz w:val="20"/>
                <w:szCs w:val="20"/>
              </w:rPr>
              <w:t xml:space="preserve"> </w:t>
            </w:r>
            <w:r w:rsidRPr="00C7327A">
              <w:rPr>
                <w:sz w:val="20"/>
                <w:szCs w:val="20"/>
              </w:rPr>
              <w:t>Companies</w:t>
            </w:r>
            <w:r w:rsidRPr="00C7327A">
              <w:rPr>
                <w:spacing w:val="-4"/>
                <w:sz w:val="20"/>
                <w:szCs w:val="20"/>
              </w:rPr>
              <w:t xml:space="preserve"> </w:t>
            </w:r>
            <w:r w:rsidRPr="00C7327A">
              <w:rPr>
                <w:sz w:val="20"/>
                <w:szCs w:val="20"/>
              </w:rPr>
              <w:t>Index</w:t>
            </w:r>
            <w:r w:rsidRPr="00C7327A">
              <w:rPr>
                <w:spacing w:val="-6"/>
                <w:sz w:val="20"/>
                <w:szCs w:val="20"/>
              </w:rPr>
              <w:t xml:space="preserve"> </w:t>
            </w:r>
            <w:r w:rsidRPr="00C7327A">
              <w:rPr>
                <w:spacing w:val="-4"/>
                <w:sz w:val="20"/>
                <w:szCs w:val="20"/>
              </w:rPr>
              <w:t>Fund</w:t>
            </w:r>
          </w:p>
        </w:tc>
        <w:tc>
          <w:tcPr>
            <w:tcW w:w="1304" w:type="dxa"/>
            <w:tcBorders>
              <w:top w:val="single" w:sz="4" w:space="0" w:color="000000"/>
              <w:bottom w:val="single" w:sz="4" w:space="0" w:color="000000"/>
              <w:right w:val="single" w:sz="4" w:space="0" w:color="000000"/>
            </w:tcBorders>
            <w:vAlign w:val="center"/>
          </w:tcPr>
          <w:p w14:paraId="510C612F" w14:textId="0D5890DB" w:rsidR="000F2D9C" w:rsidRPr="00B81408" w:rsidRDefault="000F2D9C" w:rsidP="00110A31">
            <w:pPr>
              <w:pStyle w:val="TableParagraph"/>
              <w:spacing w:before="40"/>
              <w:ind w:left="16" w:right="6"/>
              <w:jc w:val="center"/>
              <w:rPr>
                <w:spacing w:val="-5"/>
                <w:sz w:val="20"/>
                <w:highlight w:val="lightGray"/>
              </w:rPr>
            </w:pPr>
            <w:r w:rsidRPr="0087576F">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62F93265" w14:textId="51307901"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0.52%</w:t>
            </w:r>
          </w:p>
        </w:tc>
        <w:tc>
          <w:tcPr>
            <w:tcW w:w="1304" w:type="dxa"/>
            <w:tcBorders>
              <w:top w:val="single" w:sz="4" w:space="0" w:color="000000"/>
              <w:left w:val="single" w:sz="4" w:space="0" w:color="000000"/>
              <w:bottom w:val="single" w:sz="4" w:space="0" w:color="000000"/>
              <w:right w:val="single" w:sz="4" w:space="0" w:color="000000"/>
            </w:tcBorders>
            <w:vAlign w:val="center"/>
          </w:tcPr>
          <w:p w14:paraId="5E517E3A" w14:textId="5349E1EB"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716B8D9D" w14:textId="22EE5972" w:rsidR="000F2D9C" w:rsidRPr="00110A31" w:rsidRDefault="000F2D9C" w:rsidP="000F2D9C">
            <w:pPr>
              <w:pStyle w:val="TableParagraph"/>
              <w:spacing w:before="40"/>
              <w:ind w:left="10"/>
              <w:jc w:val="center"/>
              <w:rPr>
                <w:spacing w:val="-5"/>
                <w:sz w:val="20"/>
              </w:rPr>
            </w:pPr>
            <w:r w:rsidRPr="00110A31">
              <w:rPr>
                <w:rFonts w:ascii="Calibri" w:hAnsi="Calibri" w:cs="Calibri"/>
                <w:color w:val="000000"/>
              </w:rPr>
              <w:t>0.56%</w:t>
            </w:r>
          </w:p>
        </w:tc>
      </w:tr>
      <w:tr w:rsidR="00FA2957" w14:paraId="21D5B20E" w14:textId="337BC5D6" w:rsidTr="00423396">
        <w:trPr>
          <w:trHeight w:val="311"/>
        </w:trPr>
        <w:tc>
          <w:tcPr>
            <w:tcW w:w="4478" w:type="dxa"/>
            <w:vAlign w:val="center"/>
          </w:tcPr>
          <w:p w14:paraId="1D92EF8C" w14:textId="77777777" w:rsidR="000F2D9C" w:rsidRDefault="000F2D9C" w:rsidP="00423396">
            <w:pPr>
              <w:pStyle w:val="TableParagraph"/>
              <w:spacing w:before="40"/>
              <w:ind w:left="4"/>
              <w:jc w:val="center"/>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AAA-AA-A</w:t>
            </w:r>
            <w:r w:rsidRPr="00C7327A">
              <w:rPr>
                <w:spacing w:val="-4"/>
                <w:sz w:val="20"/>
                <w:szCs w:val="20"/>
              </w:rPr>
              <w:t xml:space="preserve"> </w:t>
            </w:r>
            <w:r w:rsidRPr="00C7327A">
              <w:rPr>
                <w:sz w:val="20"/>
                <w:szCs w:val="20"/>
              </w:rPr>
              <w:t>Corporate</w:t>
            </w:r>
            <w:r w:rsidRPr="00C7327A">
              <w:rPr>
                <w:spacing w:val="-5"/>
                <w:sz w:val="20"/>
                <w:szCs w:val="20"/>
              </w:rPr>
              <w:t xml:space="preserve"> </w:t>
            </w:r>
            <w:r w:rsidRPr="00C7327A">
              <w:rPr>
                <w:sz w:val="20"/>
                <w:szCs w:val="20"/>
              </w:rPr>
              <w:t>Bond</w:t>
            </w:r>
            <w:r w:rsidRPr="00C7327A">
              <w:rPr>
                <w:spacing w:val="-4"/>
                <w:sz w:val="20"/>
                <w:szCs w:val="20"/>
              </w:rPr>
              <w:t xml:space="preserve"> </w:t>
            </w:r>
            <w:r w:rsidRPr="00C7327A">
              <w:rPr>
                <w:sz w:val="20"/>
                <w:szCs w:val="20"/>
              </w:rPr>
              <w:t>-</w:t>
            </w:r>
            <w:r w:rsidRPr="00C7327A">
              <w:rPr>
                <w:spacing w:val="-5"/>
                <w:sz w:val="20"/>
                <w:szCs w:val="20"/>
              </w:rPr>
              <w:t xml:space="preserve"> </w:t>
            </w:r>
            <w:r w:rsidRPr="00C7327A">
              <w:rPr>
                <w:sz w:val="20"/>
                <w:szCs w:val="20"/>
              </w:rPr>
              <w:t>All</w:t>
            </w:r>
            <w:r w:rsidRPr="00C7327A">
              <w:rPr>
                <w:spacing w:val="-5"/>
                <w:sz w:val="20"/>
                <w:szCs w:val="20"/>
              </w:rPr>
              <w:t xml:space="preserve"> </w:t>
            </w:r>
            <w:r w:rsidRPr="00C7327A">
              <w:rPr>
                <w:sz w:val="20"/>
                <w:szCs w:val="20"/>
              </w:rPr>
              <w:t>Stocks</w:t>
            </w:r>
            <w:r w:rsidRPr="00C7327A">
              <w:rPr>
                <w:spacing w:val="-3"/>
                <w:sz w:val="20"/>
                <w:szCs w:val="20"/>
              </w:rPr>
              <w:t xml:space="preserve"> </w:t>
            </w:r>
            <w:r w:rsidRPr="00C7327A">
              <w:rPr>
                <w:sz w:val="20"/>
                <w:szCs w:val="20"/>
              </w:rPr>
              <w:t>-</w:t>
            </w:r>
            <w:r w:rsidRPr="00C7327A">
              <w:rPr>
                <w:spacing w:val="-5"/>
                <w:sz w:val="20"/>
                <w:szCs w:val="20"/>
              </w:rPr>
              <w:t xml:space="preserve"> </w:t>
            </w:r>
            <w:r w:rsidRPr="00C7327A">
              <w:rPr>
                <w:sz w:val="20"/>
                <w:szCs w:val="20"/>
              </w:rPr>
              <w:t>Index</w:t>
            </w:r>
            <w:r w:rsidRPr="00C7327A">
              <w:rPr>
                <w:spacing w:val="-5"/>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28FCA1C8" w14:textId="4A6305A9" w:rsidR="000F2D9C" w:rsidRPr="00B81408" w:rsidRDefault="000F2D9C" w:rsidP="00423396">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ED739EA" w14:textId="35F236E6" w:rsidR="000F2D9C" w:rsidRPr="00110A31" w:rsidRDefault="00EC18E6" w:rsidP="00423396">
            <w:pPr>
              <w:pStyle w:val="TableParagraph"/>
              <w:spacing w:before="40"/>
              <w:ind w:left="10" w:right="1"/>
              <w:jc w:val="center"/>
              <w:rPr>
                <w:sz w:val="20"/>
              </w:rPr>
            </w:pPr>
            <w:r w:rsidRPr="00110A31">
              <w:rPr>
                <w:sz w:val="20"/>
              </w:rPr>
              <w:t>0.11</w:t>
            </w:r>
            <w:r w:rsidR="00423396">
              <w:rPr>
                <w:sz w:val="20"/>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641CE282" w14:textId="546CDCE5" w:rsidR="000F2D9C" w:rsidRPr="00110A31" w:rsidRDefault="000F2D9C" w:rsidP="00423396">
            <w:pPr>
              <w:pStyle w:val="TableParagraph"/>
              <w:spacing w:before="40"/>
              <w:ind w:left="10" w:right="1"/>
              <w:jc w:val="center"/>
              <w:rPr>
                <w:sz w:val="20"/>
              </w:rPr>
            </w:pPr>
            <w:r w:rsidRPr="00110A31">
              <w:rPr>
                <w:rFonts w:ascii="Calibri" w:hAnsi="Calibri" w:cs="Calibri"/>
                <w:color w:val="000000"/>
              </w:rPr>
              <w:t>0.07%</w:t>
            </w:r>
          </w:p>
        </w:tc>
        <w:tc>
          <w:tcPr>
            <w:tcW w:w="1304" w:type="dxa"/>
            <w:tcBorders>
              <w:top w:val="single" w:sz="4" w:space="0" w:color="000000"/>
              <w:left w:val="single" w:sz="4" w:space="0" w:color="000000"/>
              <w:bottom w:val="single" w:sz="4" w:space="0" w:color="000000"/>
              <w:right w:val="single" w:sz="4" w:space="0" w:color="000000"/>
            </w:tcBorders>
            <w:vAlign w:val="center"/>
          </w:tcPr>
          <w:p w14:paraId="2E617D08" w14:textId="2CEA1F8A" w:rsidR="000F2D9C" w:rsidRPr="00110A31" w:rsidRDefault="000F2D9C" w:rsidP="00423396">
            <w:pPr>
              <w:pStyle w:val="TableParagraph"/>
              <w:spacing w:before="40"/>
              <w:ind w:left="10" w:right="1"/>
              <w:jc w:val="center"/>
              <w:rPr>
                <w:sz w:val="20"/>
              </w:rPr>
            </w:pPr>
            <w:r w:rsidRPr="00110A31">
              <w:rPr>
                <w:rFonts w:ascii="Calibri" w:hAnsi="Calibri" w:cs="Calibri"/>
                <w:color w:val="000000"/>
              </w:rPr>
              <w:t>0.23%</w:t>
            </w:r>
          </w:p>
        </w:tc>
      </w:tr>
      <w:tr w:rsidR="00FA2957" w14:paraId="43F12CEE" w14:textId="2601F3CE" w:rsidTr="00423396">
        <w:trPr>
          <w:trHeight w:val="311"/>
        </w:trPr>
        <w:tc>
          <w:tcPr>
            <w:tcW w:w="4478" w:type="dxa"/>
          </w:tcPr>
          <w:p w14:paraId="1E1C9A3B" w14:textId="77777777" w:rsidR="000F2D9C" w:rsidRDefault="000F2D9C" w:rsidP="000F2D9C">
            <w:pPr>
              <w:pStyle w:val="TableParagraph"/>
              <w:spacing w:before="40"/>
              <w:ind w:left="4"/>
              <w:rPr>
                <w:sz w:val="20"/>
              </w:rPr>
            </w:pPr>
            <w:r w:rsidRPr="00C7327A">
              <w:rPr>
                <w:sz w:val="20"/>
                <w:szCs w:val="20"/>
              </w:rPr>
              <w:t>L&amp;G</w:t>
            </w:r>
            <w:r w:rsidRPr="00C7327A">
              <w:rPr>
                <w:spacing w:val="-2"/>
                <w:sz w:val="20"/>
                <w:szCs w:val="20"/>
              </w:rPr>
              <w:t xml:space="preserve"> </w:t>
            </w:r>
            <w:r w:rsidRPr="00C7327A">
              <w:rPr>
                <w:sz w:val="20"/>
                <w:szCs w:val="20"/>
              </w:rPr>
              <w:t>PMC</w:t>
            </w:r>
            <w:r w:rsidRPr="00C7327A">
              <w:rPr>
                <w:spacing w:val="-1"/>
                <w:sz w:val="20"/>
                <w:szCs w:val="20"/>
              </w:rPr>
              <w:t xml:space="preserve"> </w:t>
            </w:r>
            <w:r w:rsidRPr="00C7327A">
              <w:rPr>
                <w:sz w:val="20"/>
                <w:szCs w:val="20"/>
              </w:rPr>
              <w:t>Cash</w:t>
            </w:r>
            <w:r w:rsidRPr="00C7327A">
              <w:rPr>
                <w:spacing w:val="-2"/>
                <w:sz w:val="20"/>
                <w:szCs w:val="20"/>
              </w:rPr>
              <w:t xml:space="preserve"> </w:t>
            </w:r>
            <w:r w:rsidRPr="00C7327A">
              <w:rPr>
                <w:sz w:val="20"/>
                <w:szCs w:val="20"/>
              </w:rPr>
              <w:t>Fund</w:t>
            </w:r>
            <w:r w:rsidRPr="00C7327A">
              <w:rPr>
                <w:spacing w:val="-1"/>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4A55866D" w14:textId="53DD0EDE"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4E12D7E4" w14:textId="7A90A9E3"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0.09%</w:t>
            </w:r>
          </w:p>
        </w:tc>
        <w:tc>
          <w:tcPr>
            <w:tcW w:w="1304" w:type="dxa"/>
            <w:tcBorders>
              <w:top w:val="single" w:sz="4" w:space="0" w:color="000000"/>
              <w:left w:val="single" w:sz="4" w:space="0" w:color="000000"/>
              <w:bottom w:val="single" w:sz="4" w:space="0" w:color="000000"/>
              <w:right w:val="single" w:sz="4" w:space="0" w:color="000000"/>
            </w:tcBorders>
            <w:vAlign w:val="center"/>
          </w:tcPr>
          <w:p w14:paraId="56F7D108" w14:textId="6F6325F0"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0.08%</w:t>
            </w:r>
          </w:p>
        </w:tc>
        <w:tc>
          <w:tcPr>
            <w:tcW w:w="1304" w:type="dxa"/>
            <w:tcBorders>
              <w:top w:val="single" w:sz="4" w:space="0" w:color="000000"/>
              <w:left w:val="single" w:sz="4" w:space="0" w:color="000000"/>
              <w:bottom w:val="single" w:sz="4" w:space="0" w:color="000000"/>
              <w:right w:val="single" w:sz="4" w:space="0" w:color="000000"/>
            </w:tcBorders>
            <w:vAlign w:val="center"/>
          </w:tcPr>
          <w:p w14:paraId="33F2E36E" w14:textId="2CC8C2A8"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0.21%</w:t>
            </w:r>
          </w:p>
        </w:tc>
      </w:tr>
      <w:tr w:rsidR="00FA2957" w14:paraId="0401DE9F" w14:textId="2DE0458A" w:rsidTr="00423396">
        <w:trPr>
          <w:trHeight w:val="311"/>
        </w:trPr>
        <w:tc>
          <w:tcPr>
            <w:tcW w:w="4478" w:type="dxa"/>
          </w:tcPr>
          <w:p w14:paraId="16557DE8"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Ethical</w:t>
            </w:r>
            <w:r w:rsidRPr="00C7327A">
              <w:rPr>
                <w:spacing w:val="-5"/>
                <w:sz w:val="20"/>
                <w:szCs w:val="20"/>
              </w:rPr>
              <w:t xml:space="preserve"> </w:t>
            </w:r>
            <w:r w:rsidRPr="00C7327A">
              <w:rPr>
                <w:sz w:val="20"/>
                <w:szCs w:val="20"/>
              </w:rPr>
              <w:t>Global</w:t>
            </w:r>
            <w:r w:rsidRPr="00C7327A">
              <w:rPr>
                <w:spacing w:val="-4"/>
                <w:sz w:val="20"/>
                <w:szCs w:val="20"/>
              </w:rPr>
              <w:t xml:space="preserve"> </w:t>
            </w:r>
            <w:r w:rsidRPr="00C7327A">
              <w:rPr>
                <w:sz w:val="20"/>
                <w:szCs w:val="20"/>
              </w:rPr>
              <w:t>Index</w:t>
            </w:r>
            <w:r w:rsidRPr="00C7327A">
              <w:rPr>
                <w:spacing w:val="-5"/>
                <w:sz w:val="20"/>
                <w:szCs w:val="20"/>
              </w:rPr>
              <w:t xml:space="preserve"> </w:t>
            </w:r>
            <w:r w:rsidRPr="00C7327A">
              <w:rPr>
                <w:sz w:val="20"/>
                <w:szCs w:val="20"/>
              </w:rPr>
              <w:t>Equity</w:t>
            </w:r>
            <w:r w:rsidRPr="00C7327A">
              <w:rPr>
                <w:spacing w:val="-3"/>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68CBDFC8" w14:textId="629038C2"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054E5D4" w14:textId="1AD26E8A"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0.30%</w:t>
            </w:r>
          </w:p>
        </w:tc>
        <w:tc>
          <w:tcPr>
            <w:tcW w:w="1304" w:type="dxa"/>
            <w:tcBorders>
              <w:top w:val="single" w:sz="4" w:space="0" w:color="000000"/>
              <w:left w:val="single" w:sz="4" w:space="0" w:color="000000"/>
              <w:bottom w:val="single" w:sz="4" w:space="0" w:color="000000"/>
              <w:right w:val="single" w:sz="4" w:space="0" w:color="000000"/>
            </w:tcBorders>
            <w:vAlign w:val="center"/>
          </w:tcPr>
          <w:p w14:paraId="4C27BDBB" w14:textId="49B365D8"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0FD87BD4" w14:textId="2CE0727C"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0.34%</w:t>
            </w:r>
          </w:p>
        </w:tc>
      </w:tr>
      <w:tr w:rsidR="00FA2957" w14:paraId="2B15D92F" w14:textId="1B2FE197" w:rsidTr="00423396">
        <w:trPr>
          <w:trHeight w:val="311"/>
        </w:trPr>
        <w:tc>
          <w:tcPr>
            <w:tcW w:w="4478" w:type="dxa"/>
          </w:tcPr>
          <w:p w14:paraId="56C61CC1" w14:textId="77777777" w:rsidR="000F2D9C" w:rsidRDefault="000F2D9C" w:rsidP="000F2D9C">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2"/>
                <w:sz w:val="20"/>
                <w:szCs w:val="20"/>
              </w:rPr>
              <w:t xml:space="preserve"> </w:t>
            </w:r>
            <w:r w:rsidRPr="00C7327A">
              <w:rPr>
                <w:sz w:val="20"/>
                <w:szCs w:val="20"/>
              </w:rPr>
              <w:t>Future</w:t>
            </w:r>
            <w:r w:rsidRPr="00C7327A">
              <w:rPr>
                <w:spacing w:val="-4"/>
                <w:sz w:val="20"/>
                <w:szCs w:val="20"/>
              </w:rPr>
              <w:t xml:space="preserve"> </w:t>
            </w:r>
            <w:r w:rsidRPr="00C7327A">
              <w:rPr>
                <w:sz w:val="20"/>
                <w:szCs w:val="20"/>
              </w:rPr>
              <w:t>World</w:t>
            </w:r>
            <w:r w:rsidRPr="00C7327A">
              <w:rPr>
                <w:spacing w:val="-3"/>
                <w:sz w:val="20"/>
                <w:szCs w:val="20"/>
              </w:rPr>
              <w:t xml:space="preserve"> </w:t>
            </w:r>
            <w:r w:rsidRPr="00C7327A">
              <w:rPr>
                <w:sz w:val="20"/>
                <w:szCs w:val="20"/>
              </w:rPr>
              <w:t>Fund</w:t>
            </w:r>
            <w:r w:rsidRPr="00C7327A">
              <w:rPr>
                <w:spacing w:val="-2"/>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0949EB4A" w14:textId="51DE49B6"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3D41AD2" w14:textId="15E76E64"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0.24%</w:t>
            </w:r>
          </w:p>
        </w:tc>
        <w:tc>
          <w:tcPr>
            <w:tcW w:w="1304" w:type="dxa"/>
            <w:tcBorders>
              <w:top w:val="single" w:sz="4" w:space="0" w:color="000000"/>
              <w:left w:val="single" w:sz="4" w:space="0" w:color="000000"/>
              <w:bottom w:val="single" w:sz="4" w:space="0" w:color="000000"/>
              <w:right w:val="single" w:sz="4" w:space="0" w:color="000000"/>
            </w:tcBorders>
            <w:vAlign w:val="center"/>
          </w:tcPr>
          <w:p w14:paraId="75E3213C" w14:textId="0256DA7A"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16EE1E72" w14:textId="3994D584"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0.28%</w:t>
            </w:r>
          </w:p>
        </w:tc>
      </w:tr>
      <w:tr w:rsidR="00FA2957" w14:paraId="022F29B8" w14:textId="4C97CDBE" w:rsidTr="00423396">
        <w:trPr>
          <w:trHeight w:val="311"/>
        </w:trPr>
        <w:tc>
          <w:tcPr>
            <w:tcW w:w="4478" w:type="dxa"/>
          </w:tcPr>
          <w:p w14:paraId="0039B353"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4"/>
                <w:sz w:val="20"/>
                <w:szCs w:val="20"/>
              </w:rPr>
              <w:t xml:space="preserve"> </w:t>
            </w:r>
            <w:r w:rsidRPr="00C7327A">
              <w:rPr>
                <w:sz w:val="20"/>
                <w:szCs w:val="20"/>
              </w:rPr>
              <w:t>Global</w:t>
            </w:r>
            <w:r w:rsidRPr="00C7327A">
              <w:rPr>
                <w:spacing w:val="-5"/>
                <w:sz w:val="20"/>
                <w:szCs w:val="20"/>
              </w:rPr>
              <w:t xml:space="preserve"> </w:t>
            </w:r>
            <w:r w:rsidRPr="00C7327A">
              <w:rPr>
                <w:sz w:val="20"/>
                <w:szCs w:val="20"/>
              </w:rPr>
              <w:t>Diversified</w:t>
            </w:r>
            <w:r w:rsidRPr="00C7327A">
              <w:rPr>
                <w:spacing w:val="-5"/>
                <w:sz w:val="20"/>
                <w:szCs w:val="20"/>
              </w:rPr>
              <w:t xml:space="preserve"> </w:t>
            </w:r>
            <w:r w:rsidRPr="00C7327A">
              <w:rPr>
                <w:sz w:val="20"/>
                <w:szCs w:val="20"/>
              </w:rPr>
              <w:t>Credit</w:t>
            </w:r>
            <w:r w:rsidRPr="00C7327A">
              <w:rPr>
                <w:spacing w:val="-4"/>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40A12310" w14:textId="57BE9FC9"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00CAE13A" w14:textId="6A82A607"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0.38%</w:t>
            </w:r>
          </w:p>
        </w:tc>
        <w:tc>
          <w:tcPr>
            <w:tcW w:w="1304" w:type="dxa"/>
            <w:tcBorders>
              <w:top w:val="single" w:sz="4" w:space="0" w:color="000000"/>
              <w:left w:val="single" w:sz="4" w:space="0" w:color="000000"/>
              <w:bottom w:val="single" w:sz="4" w:space="0" w:color="000000"/>
              <w:right w:val="single" w:sz="4" w:space="0" w:color="000000"/>
            </w:tcBorders>
            <w:vAlign w:val="center"/>
          </w:tcPr>
          <w:p w14:paraId="40B20FB3" w14:textId="590826FA"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76BCE1AA" w14:textId="1DCFF3F5"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0.42%</w:t>
            </w:r>
          </w:p>
        </w:tc>
      </w:tr>
      <w:tr w:rsidR="00FA2957" w14:paraId="65112F12" w14:textId="4A0AE9CB" w:rsidTr="00423396">
        <w:trPr>
          <w:trHeight w:val="311"/>
        </w:trPr>
        <w:tc>
          <w:tcPr>
            <w:tcW w:w="4478" w:type="dxa"/>
          </w:tcPr>
          <w:p w14:paraId="66601B6F"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HSBC</w:t>
            </w:r>
            <w:r w:rsidRPr="00C7327A">
              <w:rPr>
                <w:spacing w:val="-3"/>
                <w:sz w:val="20"/>
                <w:szCs w:val="20"/>
              </w:rPr>
              <w:t xml:space="preserve"> </w:t>
            </w:r>
            <w:r w:rsidRPr="00C7327A">
              <w:rPr>
                <w:sz w:val="20"/>
                <w:szCs w:val="20"/>
              </w:rPr>
              <w:t>Islamic</w:t>
            </w:r>
            <w:r w:rsidRPr="00C7327A">
              <w:rPr>
                <w:spacing w:val="-3"/>
                <w:sz w:val="20"/>
                <w:szCs w:val="20"/>
              </w:rPr>
              <w:t xml:space="preserve"> </w:t>
            </w:r>
            <w:r w:rsidRPr="00C7327A">
              <w:rPr>
                <w:sz w:val="20"/>
                <w:szCs w:val="20"/>
              </w:rPr>
              <w:t>Global</w:t>
            </w:r>
            <w:r w:rsidRPr="00C7327A">
              <w:rPr>
                <w:spacing w:val="-5"/>
                <w:sz w:val="20"/>
                <w:szCs w:val="20"/>
              </w:rPr>
              <w:t xml:space="preserve"> </w:t>
            </w:r>
            <w:r w:rsidRPr="00C7327A">
              <w:rPr>
                <w:sz w:val="20"/>
                <w:szCs w:val="20"/>
              </w:rPr>
              <w:t>Equity</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10096161" w14:textId="4704C599"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52E98E9E" w14:textId="3128411F"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0.32%</w:t>
            </w:r>
          </w:p>
        </w:tc>
        <w:tc>
          <w:tcPr>
            <w:tcW w:w="1304" w:type="dxa"/>
            <w:tcBorders>
              <w:top w:val="single" w:sz="4" w:space="0" w:color="000000"/>
              <w:left w:val="single" w:sz="4" w:space="0" w:color="000000"/>
              <w:bottom w:val="single" w:sz="4" w:space="0" w:color="000000"/>
              <w:right w:val="single" w:sz="4" w:space="0" w:color="000000"/>
            </w:tcBorders>
            <w:vAlign w:val="center"/>
          </w:tcPr>
          <w:p w14:paraId="7532997A" w14:textId="28CC288E"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0.06%</w:t>
            </w:r>
          </w:p>
        </w:tc>
        <w:tc>
          <w:tcPr>
            <w:tcW w:w="1304" w:type="dxa"/>
            <w:tcBorders>
              <w:top w:val="single" w:sz="4" w:space="0" w:color="000000"/>
              <w:left w:val="single" w:sz="4" w:space="0" w:color="000000"/>
              <w:bottom w:val="single" w:sz="4" w:space="0" w:color="000000"/>
              <w:right w:val="single" w:sz="4" w:space="0" w:color="000000"/>
            </w:tcBorders>
            <w:vAlign w:val="center"/>
          </w:tcPr>
          <w:p w14:paraId="1FB7E365" w14:textId="4DCED106"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0.42%</w:t>
            </w:r>
          </w:p>
        </w:tc>
      </w:tr>
      <w:tr w:rsidR="00FA2957" w14:paraId="2DB8F252" w14:textId="490DED24" w:rsidTr="00423396">
        <w:trPr>
          <w:trHeight w:val="311"/>
        </w:trPr>
        <w:tc>
          <w:tcPr>
            <w:tcW w:w="4478" w:type="dxa"/>
          </w:tcPr>
          <w:p w14:paraId="5F47A00D"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Janus</w:t>
            </w:r>
            <w:r w:rsidRPr="00C7327A">
              <w:rPr>
                <w:spacing w:val="-4"/>
                <w:sz w:val="20"/>
                <w:szCs w:val="20"/>
              </w:rPr>
              <w:t xml:space="preserve"> </w:t>
            </w:r>
            <w:r w:rsidRPr="00C7327A">
              <w:rPr>
                <w:sz w:val="20"/>
                <w:szCs w:val="20"/>
              </w:rPr>
              <w:t>Henderson</w:t>
            </w:r>
            <w:r w:rsidRPr="00C7327A">
              <w:rPr>
                <w:spacing w:val="-4"/>
                <w:sz w:val="20"/>
                <w:szCs w:val="20"/>
              </w:rPr>
              <w:t xml:space="preserve"> </w:t>
            </w:r>
            <w:r w:rsidRPr="00C7327A">
              <w:rPr>
                <w:sz w:val="20"/>
                <w:szCs w:val="20"/>
              </w:rPr>
              <w:t>Fixed</w:t>
            </w:r>
            <w:r w:rsidRPr="00C7327A">
              <w:rPr>
                <w:spacing w:val="-4"/>
                <w:sz w:val="20"/>
                <w:szCs w:val="20"/>
              </w:rPr>
              <w:t xml:space="preserve"> </w:t>
            </w:r>
            <w:r w:rsidRPr="00C7327A">
              <w:rPr>
                <w:sz w:val="20"/>
                <w:szCs w:val="20"/>
              </w:rPr>
              <w:t>Interest</w:t>
            </w:r>
            <w:r w:rsidRPr="00C7327A">
              <w:rPr>
                <w:spacing w:val="-5"/>
                <w:sz w:val="20"/>
                <w:szCs w:val="20"/>
              </w:rPr>
              <w:t xml:space="preserve"> </w:t>
            </w:r>
            <w:r w:rsidRPr="00C7327A">
              <w:rPr>
                <w:sz w:val="20"/>
                <w:szCs w:val="20"/>
              </w:rPr>
              <w:t>Monthly</w:t>
            </w:r>
            <w:r w:rsidRPr="00C7327A">
              <w:rPr>
                <w:spacing w:val="-3"/>
                <w:sz w:val="20"/>
                <w:szCs w:val="20"/>
              </w:rPr>
              <w:t xml:space="preserve"> </w:t>
            </w:r>
            <w:r w:rsidRPr="00C7327A">
              <w:rPr>
                <w:sz w:val="20"/>
                <w:szCs w:val="20"/>
              </w:rPr>
              <w:t>Income</w:t>
            </w:r>
            <w:r w:rsidRPr="00C7327A">
              <w:rPr>
                <w:spacing w:val="-5"/>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59D3FCBF" w14:textId="1D1D67C9"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3494060D" w14:textId="70570F49"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0.66%</w:t>
            </w:r>
          </w:p>
        </w:tc>
        <w:tc>
          <w:tcPr>
            <w:tcW w:w="1304" w:type="dxa"/>
            <w:tcBorders>
              <w:top w:val="single" w:sz="4" w:space="0" w:color="000000"/>
              <w:left w:val="single" w:sz="4" w:space="0" w:color="000000"/>
              <w:bottom w:val="single" w:sz="4" w:space="0" w:color="000000"/>
              <w:right w:val="single" w:sz="4" w:space="0" w:color="000000"/>
            </w:tcBorders>
            <w:vAlign w:val="center"/>
          </w:tcPr>
          <w:p w14:paraId="03A59267" w14:textId="3B3C9100"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364F499B" w14:textId="1235B6EA"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0.70%</w:t>
            </w:r>
          </w:p>
        </w:tc>
      </w:tr>
      <w:tr w:rsidR="00FA2957" w14:paraId="220C43AC" w14:textId="2A92394C" w:rsidTr="00423396">
        <w:trPr>
          <w:trHeight w:val="311"/>
        </w:trPr>
        <w:tc>
          <w:tcPr>
            <w:tcW w:w="4478" w:type="dxa"/>
          </w:tcPr>
          <w:p w14:paraId="2B350636"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Multi-Asset</w:t>
            </w:r>
            <w:r w:rsidRPr="00C7327A">
              <w:rPr>
                <w:spacing w:val="-4"/>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2C3C17F7" w14:textId="0C233E66"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18702A1C" w14:textId="56F2593B"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0.13%</w:t>
            </w:r>
          </w:p>
        </w:tc>
        <w:tc>
          <w:tcPr>
            <w:tcW w:w="1304" w:type="dxa"/>
            <w:tcBorders>
              <w:top w:val="single" w:sz="4" w:space="0" w:color="000000"/>
              <w:left w:val="single" w:sz="4" w:space="0" w:color="000000"/>
              <w:bottom w:val="single" w:sz="4" w:space="0" w:color="000000"/>
              <w:right w:val="single" w:sz="4" w:space="0" w:color="000000"/>
            </w:tcBorders>
            <w:vAlign w:val="center"/>
          </w:tcPr>
          <w:p w14:paraId="2F05E32B" w14:textId="1D93766F"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46ACD11B" w14:textId="31B6D96B"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0.17%</w:t>
            </w:r>
          </w:p>
        </w:tc>
      </w:tr>
      <w:tr w:rsidR="00FA2957" w14:paraId="56EF1B60" w14:textId="5219659D" w:rsidTr="00423396">
        <w:trPr>
          <w:trHeight w:val="311"/>
        </w:trPr>
        <w:tc>
          <w:tcPr>
            <w:tcW w:w="4478" w:type="dxa"/>
          </w:tcPr>
          <w:p w14:paraId="4B8CEC9C"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Future</w:t>
            </w:r>
            <w:r w:rsidRPr="00C7327A">
              <w:rPr>
                <w:spacing w:val="-5"/>
                <w:sz w:val="20"/>
                <w:szCs w:val="20"/>
              </w:rPr>
              <w:t xml:space="preserve"> </w:t>
            </w:r>
            <w:r w:rsidRPr="00C7327A">
              <w:rPr>
                <w:sz w:val="20"/>
                <w:szCs w:val="20"/>
              </w:rPr>
              <w:t>World</w:t>
            </w:r>
            <w:r w:rsidRPr="00C7327A">
              <w:rPr>
                <w:spacing w:val="-4"/>
                <w:sz w:val="20"/>
                <w:szCs w:val="20"/>
              </w:rPr>
              <w:t xml:space="preserve"> </w:t>
            </w:r>
            <w:r w:rsidRPr="00C7327A">
              <w:rPr>
                <w:sz w:val="20"/>
                <w:szCs w:val="20"/>
              </w:rPr>
              <w:t>Annuity</w:t>
            </w:r>
            <w:r w:rsidRPr="00C7327A">
              <w:rPr>
                <w:spacing w:val="-3"/>
                <w:sz w:val="20"/>
                <w:szCs w:val="20"/>
              </w:rPr>
              <w:t xml:space="preserve"> </w:t>
            </w:r>
            <w:r w:rsidRPr="00C7327A">
              <w:rPr>
                <w:sz w:val="20"/>
                <w:szCs w:val="20"/>
              </w:rPr>
              <w:t>Aware</w:t>
            </w:r>
            <w:r w:rsidRPr="00C7327A">
              <w:rPr>
                <w:spacing w:val="-5"/>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785DEF51" w14:textId="3F1D8142"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46B2DDAD" w14:textId="2A561410"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0.12%</w:t>
            </w:r>
          </w:p>
        </w:tc>
        <w:tc>
          <w:tcPr>
            <w:tcW w:w="1304" w:type="dxa"/>
            <w:tcBorders>
              <w:top w:val="single" w:sz="4" w:space="0" w:color="000000"/>
              <w:left w:val="single" w:sz="4" w:space="0" w:color="000000"/>
              <w:bottom w:val="single" w:sz="4" w:space="0" w:color="000000"/>
              <w:right w:val="single" w:sz="4" w:space="0" w:color="000000"/>
            </w:tcBorders>
            <w:vAlign w:val="center"/>
          </w:tcPr>
          <w:p w14:paraId="2553758C" w14:textId="3D33341A"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0.07%</w:t>
            </w:r>
          </w:p>
        </w:tc>
        <w:tc>
          <w:tcPr>
            <w:tcW w:w="1304" w:type="dxa"/>
            <w:tcBorders>
              <w:top w:val="single" w:sz="4" w:space="0" w:color="000000"/>
              <w:left w:val="single" w:sz="4" w:space="0" w:color="000000"/>
              <w:bottom w:val="single" w:sz="4" w:space="0" w:color="000000"/>
              <w:right w:val="single" w:sz="4" w:space="0" w:color="000000"/>
            </w:tcBorders>
            <w:vAlign w:val="center"/>
          </w:tcPr>
          <w:p w14:paraId="335C2475" w14:textId="4EBFB05E"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0.23%</w:t>
            </w:r>
          </w:p>
        </w:tc>
      </w:tr>
      <w:tr w:rsidR="00FA2957" w14:paraId="20D32AF3" w14:textId="327E4756" w:rsidTr="00423396">
        <w:trPr>
          <w:trHeight w:val="311"/>
        </w:trPr>
        <w:tc>
          <w:tcPr>
            <w:tcW w:w="4478" w:type="dxa"/>
          </w:tcPr>
          <w:p w14:paraId="2DFA1070" w14:textId="77777777" w:rsidR="000F2D9C" w:rsidRDefault="000F2D9C" w:rsidP="000F2D9C">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PMC</w:t>
            </w:r>
            <w:r w:rsidRPr="00C7327A">
              <w:rPr>
                <w:spacing w:val="-3"/>
                <w:sz w:val="20"/>
                <w:szCs w:val="20"/>
              </w:rPr>
              <w:t xml:space="preserve"> </w:t>
            </w:r>
            <w:r w:rsidRPr="00C7327A">
              <w:rPr>
                <w:sz w:val="20"/>
                <w:szCs w:val="20"/>
              </w:rPr>
              <w:t>Sustainable</w:t>
            </w:r>
            <w:r w:rsidRPr="00C7327A">
              <w:rPr>
                <w:spacing w:val="-5"/>
                <w:sz w:val="20"/>
                <w:szCs w:val="20"/>
              </w:rPr>
              <w:t xml:space="preserve"> </w:t>
            </w:r>
            <w:r w:rsidRPr="00C7327A">
              <w:rPr>
                <w:sz w:val="20"/>
                <w:szCs w:val="20"/>
              </w:rPr>
              <w:t>Property</w:t>
            </w:r>
            <w:r w:rsidRPr="00C7327A">
              <w:rPr>
                <w:spacing w:val="-3"/>
                <w:sz w:val="20"/>
                <w:szCs w:val="20"/>
              </w:rPr>
              <w:t xml:space="preserve"> </w:t>
            </w:r>
            <w:r w:rsidRPr="00C7327A">
              <w:rPr>
                <w:sz w:val="20"/>
                <w:szCs w:val="20"/>
              </w:rPr>
              <w:t>Fund</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6D555501" w14:textId="69F48F46"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DAAE9AA" w14:textId="434C654E"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1.95%</w:t>
            </w:r>
          </w:p>
        </w:tc>
        <w:tc>
          <w:tcPr>
            <w:tcW w:w="1304" w:type="dxa"/>
            <w:tcBorders>
              <w:top w:val="single" w:sz="4" w:space="0" w:color="000000"/>
              <w:left w:val="single" w:sz="4" w:space="0" w:color="000000"/>
              <w:bottom w:val="single" w:sz="4" w:space="0" w:color="000000"/>
              <w:right w:val="single" w:sz="4" w:space="0" w:color="000000"/>
            </w:tcBorders>
            <w:vAlign w:val="center"/>
          </w:tcPr>
          <w:p w14:paraId="1EEF4761" w14:textId="706290A0"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0.10%</w:t>
            </w:r>
          </w:p>
        </w:tc>
        <w:tc>
          <w:tcPr>
            <w:tcW w:w="1304" w:type="dxa"/>
            <w:tcBorders>
              <w:top w:val="single" w:sz="4" w:space="0" w:color="000000"/>
              <w:left w:val="single" w:sz="4" w:space="0" w:color="000000"/>
              <w:bottom w:val="single" w:sz="4" w:space="0" w:color="000000"/>
              <w:right w:val="single" w:sz="4" w:space="0" w:color="000000"/>
            </w:tcBorders>
            <w:vAlign w:val="center"/>
          </w:tcPr>
          <w:p w14:paraId="318389F5" w14:textId="2ADDDF77"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2.09%</w:t>
            </w:r>
          </w:p>
        </w:tc>
      </w:tr>
      <w:tr w:rsidR="00FA2957" w14:paraId="6FB87AC6" w14:textId="07D22115" w:rsidTr="00423396">
        <w:trPr>
          <w:trHeight w:val="311"/>
        </w:trPr>
        <w:tc>
          <w:tcPr>
            <w:tcW w:w="4478" w:type="dxa"/>
          </w:tcPr>
          <w:p w14:paraId="6023806C" w14:textId="77777777" w:rsidR="000F2D9C" w:rsidRDefault="000F2D9C" w:rsidP="000F2D9C">
            <w:pPr>
              <w:pStyle w:val="TableParagraph"/>
              <w:spacing w:before="40"/>
              <w:ind w:left="4"/>
              <w:rPr>
                <w:sz w:val="20"/>
              </w:rPr>
            </w:pPr>
            <w:r w:rsidRPr="00C7327A">
              <w:rPr>
                <w:sz w:val="20"/>
                <w:szCs w:val="20"/>
              </w:rPr>
              <w:t>L&amp;G</w:t>
            </w:r>
            <w:r w:rsidRPr="00C7327A">
              <w:rPr>
                <w:spacing w:val="-5"/>
                <w:sz w:val="20"/>
                <w:szCs w:val="20"/>
              </w:rPr>
              <w:t xml:space="preserve"> </w:t>
            </w:r>
            <w:r w:rsidRPr="00C7327A">
              <w:rPr>
                <w:sz w:val="20"/>
                <w:szCs w:val="20"/>
              </w:rPr>
              <w:t>PMC</w:t>
            </w:r>
            <w:r w:rsidRPr="00C7327A">
              <w:rPr>
                <w:spacing w:val="-4"/>
                <w:sz w:val="20"/>
                <w:szCs w:val="20"/>
              </w:rPr>
              <w:t xml:space="preserve"> </w:t>
            </w:r>
            <w:r w:rsidRPr="00C7327A">
              <w:rPr>
                <w:sz w:val="20"/>
                <w:szCs w:val="20"/>
              </w:rPr>
              <w:t>Retirement</w:t>
            </w:r>
            <w:r w:rsidRPr="00C7327A">
              <w:rPr>
                <w:spacing w:val="-5"/>
                <w:sz w:val="20"/>
                <w:szCs w:val="20"/>
              </w:rPr>
              <w:t xml:space="preserve"> </w:t>
            </w:r>
            <w:r w:rsidRPr="00C7327A">
              <w:rPr>
                <w:sz w:val="20"/>
                <w:szCs w:val="20"/>
              </w:rPr>
              <w:t>Income</w:t>
            </w:r>
            <w:r w:rsidRPr="00C7327A">
              <w:rPr>
                <w:spacing w:val="-6"/>
                <w:sz w:val="20"/>
                <w:szCs w:val="20"/>
              </w:rPr>
              <w:t xml:space="preserve"> </w:t>
            </w:r>
            <w:r w:rsidRPr="00C7327A">
              <w:rPr>
                <w:sz w:val="20"/>
                <w:szCs w:val="20"/>
              </w:rPr>
              <w:t>Multi-Asset</w:t>
            </w:r>
            <w:r w:rsidRPr="00C7327A">
              <w:rPr>
                <w:spacing w:val="-5"/>
                <w:sz w:val="20"/>
                <w:szCs w:val="20"/>
              </w:rPr>
              <w:t xml:space="preserve"> </w:t>
            </w:r>
            <w:r w:rsidRPr="00C7327A">
              <w:rPr>
                <w:sz w:val="20"/>
                <w:szCs w:val="20"/>
              </w:rPr>
              <w:t>Fund</w:t>
            </w:r>
            <w:r w:rsidRPr="00C7327A">
              <w:rPr>
                <w:spacing w:val="-5"/>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4D028866" w14:textId="66296983"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53790BC" w14:textId="64D743B7"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0.29%</w:t>
            </w:r>
          </w:p>
        </w:tc>
        <w:tc>
          <w:tcPr>
            <w:tcW w:w="1304" w:type="dxa"/>
            <w:tcBorders>
              <w:top w:val="single" w:sz="4" w:space="0" w:color="000000"/>
              <w:left w:val="single" w:sz="4" w:space="0" w:color="000000"/>
              <w:bottom w:val="single" w:sz="4" w:space="0" w:color="000000"/>
              <w:right w:val="single" w:sz="4" w:space="0" w:color="000000"/>
            </w:tcBorders>
            <w:vAlign w:val="center"/>
          </w:tcPr>
          <w:p w14:paraId="7E6C668B" w14:textId="10533966"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234BE312" w14:textId="1CD29F7D"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0.33%</w:t>
            </w:r>
          </w:p>
        </w:tc>
      </w:tr>
      <w:tr w:rsidR="00FA2957" w14:paraId="35DC839A" w14:textId="3CC0B535" w:rsidTr="00423396">
        <w:trPr>
          <w:trHeight w:val="311"/>
        </w:trPr>
        <w:tc>
          <w:tcPr>
            <w:tcW w:w="4478" w:type="dxa"/>
          </w:tcPr>
          <w:p w14:paraId="134AEF26" w14:textId="77777777" w:rsidR="000F2D9C" w:rsidRDefault="000F2D9C" w:rsidP="000F2D9C">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2"/>
                <w:sz w:val="20"/>
                <w:szCs w:val="20"/>
              </w:rPr>
              <w:t xml:space="preserve"> </w:t>
            </w:r>
            <w:r w:rsidRPr="00C7327A">
              <w:rPr>
                <w:sz w:val="20"/>
                <w:szCs w:val="20"/>
              </w:rPr>
              <w:t>CT</w:t>
            </w:r>
            <w:r w:rsidRPr="00C7327A">
              <w:rPr>
                <w:spacing w:val="-2"/>
                <w:sz w:val="20"/>
                <w:szCs w:val="20"/>
              </w:rPr>
              <w:t xml:space="preserve"> </w:t>
            </w:r>
            <w:r w:rsidRPr="00C7327A">
              <w:rPr>
                <w:sz w:val="20"/>
                <w:szCs w:val="20"/>
              </w:rPr>
              <w:t>Managed</w:t>
            </w:r>
            <w:r w:rsidRPr="00C7327A">
              <w:rPr>
                <w:spacing w:val="-2"/>
                <w:sz w:val="20"/>
                <w:szCs w:val="20"/>
              </w:rPr>
              <w:t xml:space="preserve"> </w:t>
            </w:r>
            <w:r w:rsidRPr="00C7327A">
              <w:rPr>
                <w:sz w:val="20"/>
                <w:szCs w:val="20"/>
              </w:rPr>
              <w:t>Equity</w:t>
            </w:r>
            <w:r w:rsidRPr="00C7327A">
              <w:rPr>
                <w:spacing w:val="-2"/>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3CC549F7" w14:textId="5DC1B4CF"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7B3554E" w14:textId="314DB047"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0.48%</w:t>
            </w:r>
          </w:p>
        </w:tc>
        <w:tc>
          <w:tcPr>
            <w:tcW w:w="1304" w:type="dxa"/>
            <w:tcBorders>
              <w:top w:val="single" w:sz="4" w:space="0" w:color="000000"/>
              <w:left w:val="single" w:sz="4" w:space="0" w:color="000000"/>
              <w:bottom w:val="single" w:sz="4" w:space="0" w:color="000000"/>
              <w:right w:val="single" w:sz="4" w:space="0" w:color="000000"/>
            </w:tcBorders>
            <w:vAlign w:val="center"/>
          </w:tcPr>
          <w:p w14:paraId="2BCA691A" w14:textId="63CDA77D"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47F48294" w14:textId="573D4E48"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0.52%</w:t>
            </w:r>
          </w:p>
        </w:tc>
      </w:tr>
      <w:tr w:rsidR="00FA2957" w14:paraId="70A57BEE" w14:textId="4052EE51" w:rsidTr="00423396">
        <w:trPr>
          <w:trHeight w:val="311"/>
        </w:trPr>
        <w:tc>
          <w:tcPr>
            <w:tcW w:w="4478" w:type="dxa"/>
          </w:tcPr>
          <w:p w14:paraId="67B184EF" w14:textId="77777777" w:rsidR="000F2D9C" w:rsidRDefault="000F2D9C" w:rsidP="000F2D9C">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2"/>
                <w:sz w:val="20"/>
                <w:szCs w:val="20"/>
              </w:rPr>
              <w:t xml:space="preserve"> </w:t>
            </w:r>
            <w:r w:rsidRPr="00C7327A">
              <w:rPr>
                <w:sz w:val="20"/>
                <w:szCs w:val="20"/>
              </w:rPr>
              <w:t>UK</w:t>
            </w:r>
            <w:r w:rsidRPr="00C7327A">
              <w:rPr>
                <w:spacing w:val="-2"/>
                <w:sz w:val="20"/>
                <w:szCs w:val="20"/>
              </w:rPr>
              <w:t xml:space="preserve"> </w:t>
            </w:r>
            <w:r w:rsidRPr="00C7327A">
              <w:rPr>
                <w:sz w:val="20"/>
                <w:szCs w:val="20"/>
              </w:rPr>
              <w:t>Index</w:t>
            </w:r>
            <w:r w:rsidRPr="00C7327A">
              <w:rPr>
                <w:spacing w:val="-4"/>
                <w:sz w:val="20"/>
                <w:szCs w:val="20"/>
              </w:rPr>
              <w:t xml:space="preserve"> </w:t>
            </w:r>
            <w:r w:rsidRPr="00C7327A">
              <w:rPr>
                <w:sz w:val="20"/>
                <w:szCs w:val="20"/>
              </w:rPr>
              <w:t>Equity</w:t>
            </w:r>
            <w:r w:rsidRPr="00C7327A">
              <w:rPr>
                <w:spacing w:val="-2"/>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2045A46F" w14:textId="6B424A74" w:rsidR="000F2D9C" w:rsidRPr="00B81408" w:rsidRDefault="000F2D9C"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2AC20779" w14:textId="0C7063BF"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0.10%</w:t>
            </w:r>
          </w:p>
        </w:tc>
        <w:tc>
          <w:tcPr>
            <w:tcW w:w="1304" w:type="dxa"/>
            <w:tcBorders>
              <w:top w:val="single" w:sz="4" w:space="0" w:color="000000"/>
              <w:left w:val="single" w:sz="4" w:space="0" w:color="000000"/>
              <w:bottom w:val="single" w:sz="4" w:space="0" w:color="000000"/>
              <w:right w:val="single" w:sz="4" w:space="0" w:color="000000"/>
            </w:tcBorders>
            <w:vAlign w:val="center"/>
          </w:tcPr>
          <w:p w14:paraId="41DBF8EF" w14:textId="639F5168"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488D7E6E" w14:textId="65F1121F" w:rsidR="000F2D9C" w:rsidRPr="00110A31" w:rsidRDefault="000F2D9C" w:rsidP="000F2D9C">
            <w:pPr>
              <w:pStyle w:val="TableParagraph"/>
              <w:spacing w:before="40"/>
              <w:ind w:left="10" w:right="1"/>
              <w:jc w:val="center"/>
              <w:rPr>
                <w:sz w:val="20"/>
              </w:rPr>
            </w:pPr>
            <w:r w:rsidRPr="00110A31">
              <w:rPr>
                <w:rFonts w:ascii="Calibri" w:hAnsi="Calibri" w:cs="Calibri"/>
                <w:color w:val="000000"/>
              </w:rPr>
              <w:t>0.14%</w:t>
            </w:r>
          </w:p>
        </w:tc>
      </w:tr>
      <w:tr w:rsidR="00FA2957" w14:paraId="3D5FDCA2" w14:textId="5F744A4A" w:rsidTr="00423396">
        <w:trPr>
          <w:trHeight w:val="311"/>
        </w:trPr>
        <w:tc>
          <w:tcPr>
            <w:tcW w:w="4478" w:type="dxa"/>
          </w:tcPr>
          <w:p w14:paraId="17904489" w14:textId="77777777" w:rsidR="004E0C73" w:rsidRDefault="004E0C73" w:rsidP="004E0C73">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3"/>
                <w:sz w:val="20"/>
                <w:szCs w:val="20"/>
              </w:rPr>
              <w:t xml:space="preserve"> </w:t>
            </w:r>
            <w:r w:rsidRPr="00C7327A">
              <w:rPr>
                <w:sz w:val="20"/>
                <w:szCs w:val="20"/>
              </w:rPr>
              <w:t>World</w:t>
            </w:r>
            <w:r w:rsidRPr="00C7327A">
              <w:rPr>
                <w:spacing w:val="-4"/>
                <w:sz w:val="20"/>
                <w:szCs w:val="20"/>
              </w:rPr>
              <w:t xml:space="preserve"> </w:t>
            </w:r>
            <w:r w:rsidRPr="00C7327A">
              <w:rPr>
                <w:sz w:val="20"/>
                <w:szCs w:val="20"/>
              </w:rPr>
              <w:t>(Ex-UK)</w:t>
            </w:r>
            <w:r w:rsidRPr="00C7327A">
              <w:rPr>
                <w:spacing w:val="-4"/>
                <w:sz w:val="20"/>
                <w:szCs w:val="20"/>
              </w:rPr>
              <w:t xml:space="preserve"> </w:t>
            </w:r>
            <w:r w:rsidRPr="00C7327A">
              <w:rPr>
                <w:sz w:val="20"/>
                <w:szCs w:val="20"/>
              </w:rPr>
              <w:t>Equity</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z w:val="20"/>
                <w:szCs w:val="20"/>
              </w:rPr>
              <w:t>Fund</w:t>
            </w:r>
            <w:r w:rsidRPr="00C7327A">
              <w:rPr>
                <w:spacing w:val="-3"/>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14A204FA" w14:textId="692F3B80" w:rsidR="004E0C73" w:rsidRPr="00B81408" w:rsidRDefault="004E0C73"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26A5B00E" w14:textId="4BC7584F" w:rsidR="004E0C73" w:rsidRPr="00110A31" w:rsidRDefault="004E0C73" w:rsidP="004E0C73">
            <w:pPr>
              <w:pStyle w:val="TableParagraph"/>
              <w:spacing w:before="40"/>
              <w:ind w:left="10" w:right="1"/>
              <w:jc w:val="center"/>
              <w:rPr>
                <w:sz w:val="20"/>
              </w:rPr>
            </w:pPr>
            <w:r w:rsidRPr="00110A31">
              <w:rPr>
                <w:rFonts w:ascii="Calibri" w:hAnsi="Calibri" w:cs="Calibri"/>
                <w:color w:val="000000"/>
              </w:rPr>
              <w:t>0.12%</w:t>
            </w:r>
          </w:p>
        </w:tc>
        <w:tc>
          <w:tcPr>
            <w:tcW w:w="1304" w:type="dxa"/>
            <w:tcBorders>
              <w:top w:val="single" w:sz="4" w:space="0" w:color="000000"/>
              <w:left w:val="single" w:sz="4" w:space="0" w:color="000000"/>
              <w:bottom w:val="single" w:sz="4" w:space="0" w:color="000000"/>
              <w:right w:val="single" w:sz="4" w:space="0" w:color="000000"/>
            </w:tcBorders>
            <w:vAlign w:val="center"/>
          </w:tcPr>
          <w:p w14:paraId="18D7EDF9" w14:textId="7202EB4E" w:rsidR="004E0C73" w:rsidRPr="00110A31" w:rsidRDefault="004E0C73" w:rsidP="004E0C73">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0B52DEF0" w14:textId="6C5113AA" w:rsidR="004E0C73" w:rsidRPr="00110A31" w:rsidRDefault="004E0C73" w:rsidP="004E0C73">
            <w:pPr>
              <w:pStyle w:val="TableParagraph"/>
              <w:spacing w:before="40"/>
              <w:ind w:left="10" w:right="1"/>
              <w:jc w:val="center"/>
              <w:rPr>
                <w:sz w:val="20"/>
              </w:rPr>
            </w:pPr>
            <w:r w:rsidRPr="00110A31">
              <w:rPr>
                <w:rFonts w:ascii="Calibri" w:hAnsi="Calibri" w:cs="Calibri"/>
                <w:color w:val="000000"/>
              </w:rPr>
              <w:t>0.16%</w:t>
            </w:r>
          </w:p>
        </w:tc>
      </w:tr>
      <w:tr w:rsidR="00FA2957" w14:paraId="2F434231" w14:textId="377DF244" w:rsidTr="00423396">
        <w:trPr>
          <w:trHeight w:val="311"/>
        </w:trPr>
        <w:tc>
          <w:tcPr>
            <w:tcW w:w="4478" w:type="dxa"/>
          </w:tcPr>
          <w:p w14:paraId="219FFAA3" w14:textId="77777777" w:rsidR="004E0C73" w:rsidRDefault="004E0C73" w:rsidP="004E0C73">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PMC</w:t>
            </w:r>
            <w:r w:rsidRPr="00C7327A">
              <w:rPr>
                <w:spacing w:val="-3"/>
                <w:sz w:val="20"/>
                <w:szCs w:val="20"/>
              </w:rPr>
              <w:t xml:space="preserve"> </w:t>
            </w:r>
            <w:r w:rsidRPr="00C7327A">
              <w:rPr>
                <w:sz w:val="20"/>
                <w:szCs w:val="20"/>
              </w:rPr>
              <w:t>Over</w:t>
            </w:r>
            <w:r w:rsidRPr="00C7327A">
              <w:rPr>
                <w:spacing w:val="-3"/>
                <w:sz w:val="20"/>
                <w:szCs w:val="20"/>
              </w:rPr>
              <w:t xml:space="preserve"> </w:t>
            </w:r>
            <w:r w:rsidRPr="00C7327A">
              <w:rPr>
                <w:sz w:val="20"/>
                <w:szCs w:val="20"/>
              </w:rPr>
              <w:t>5</w:t>
            </w:r>
            <w:r w:rsidRPr="00C7327A">
              <w:rPr>
                <w:spacing w:val="-4"/>
                <w:sz w:val="20"/>
                <w:szCs w:val="20"/>
              </w:rPr>
              <w:t xml:space="preserve"> </w:t>
            </w:r>
            <w:r w:rsidRPr="00C7327A">
              <w:rPr>
                <w:sz w:val="20"/>
                <w:szCs w:val="20"/>
              </w:rPr>
              <w:t>Year</w:t>
            </w:r>
            <w:r w:rsidRPr="00C7327A">
              <w:rPr>
                <w:spacing w:val="-3"/>
                <w:sz w:val="20"/>
                <w:szCs w:val="20"/>
              </w:rPr>
              <w:t xml:space="preserve"> </w:t>
            </w:r>
            <w:r w:rsidRPr="00C7327A">
              <w:rPr>
                <w:sz w:val="20"/>
                <w:szCs w:val="20"/>
              </w:rPr>
              <w:t>Index</w:t>
            </w:r>
            <w:r w:rsidRPr="00C7327A">
              <w:rPr>
                <w:spacing w:val="-5"/>
                <w:sz w:val="20"/>
                <w:szCs w:val="20"/>
              </w:rPr>
              <w:t xml:space="preserve"> </w:t>
            </w:r>
            <w:r w:rsidRPr="00C7327A">
              <w:rPr>
                <w:sz w:val="20"/>
                <w:szCs w:val="20"/>
              </w:rPr>
              <w:t>Linked</w:t>
            </w:r>
            <w:r w:rsidRPr="00C7327A">
              <w:rPr>
                <w:spacing w:val="-3"/>
                <w:sz w:val="20"/>
                <w:szCs w:val="20"/>
              </w:rPr>
              <w:t xml:space="preserve"> </w:t>
            </w:r>
            <w:r w:rsidRPr="00C7327A">
              <w:rPr>
                <w:sz w:val="20"/>
                <w:szCs w:val="20"/>
              </w:rPr>
              <w:t>Gilts</w:t>
            </w:r>
            <w:r w:rsidRPr="00C7327A">
              <w:rPr>
                <w:spacing w:val="-3"/>
                <w:sz w:val="20"/>
                <w:szCs w:val="20"/>
              </w:rPr>
              <w:t xml:space="preserve"> </w:t>
            </w:r>
            <w:r w:rsidRPr="00C7327A">
              <w:rPr>
                <w:sz w:val="20"/>
                <w:szCs w:val="20"/>
              </w:rPr>
              <w:t>Index</w:t>
            </w:r>
            <w:r w:rsidRPr="00C7327A">
              <w:rPr>
                <w:spacing w:val="-4"/>
                <w:sz w:val="20"/>
                <w:szCs w:val="20"/>
              </w:rPr>
              <w:t xml:space="preserve"> </w:t>
            </w:r>
            <w:r w:rsidRPr="00C7327A">
              <w:rPr>
                <w:spacing w:val="-10"/>
                <w:sz w:val="20"/>
                <w:szCs w:val="20"/>
              </w:rPr>
              <w:t>3</w:t>
            </w:r>
          </w:p>
        </w:tc>
        <w:tc>
          <w:tcPr>
            <w:tcW w:w="1304" w:type="dxa"/>
            <w:tcBorders>
              <w:top w:val="single" w:sz="4" w:space="0" w:color="000000"/>
              <w:bottom w:val="single" w:sz="4" w:space="0" w:color="000000"/>
              <w:right w:val="single" w:sz="4" w:space="0" w:color="000000"/>
            </w:tcBorders>
            <w:vAlign w:val="center"/>
          </w:tcPr>
          <w:p w14:paraId="115EF325" w14:textId="540A84FA" w:rsidR="004E0C73" w:rsidRPr="00B81408" w:rsidRDefault="004E0C73" w:rsidP="00110A31">
            <w:pPr>
              <w:pStyle w:val="TableParagraph"/>
              <w:spacing w:before="40"/>
              <w:ind w:left="16" w:right="6"/>
              <w:jc w:val="center"/>
              <w:rPr>
                <w:spacing w:val="-4"/>
                <w:sz w:val="20"/>
                <w:highlight w:val="lightGray"/>
              </w:rPr>
            </w:pPr>
            <w:r w:rsidRPr="002D6A6E">
              <w:rPr>
                <w:sz w:val="20"/>
              </w:rPr>
              <w:t>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02A28133" w14:textId="708789DF" w:rsidR="004E0C73" w:rsidRPr="00110A31" w:rsidRDefault="004E0C73" w:rsidP="004E0C73">
            <w:pPr>
              <w:pStyle w:val="TableParagraph"/>
              <w:spacing w:before="40"/>
              <w:ind w:left="10" w:right="1"/>
              <w:jc w:val="center"/>
              <w:rPr>
                <w:sz w:val="20"/>
              </w:rPr>
            </w:pPr>
            <w:r w:rsidRPr="00110A31">
              <w:rPr>
                <w:rFonts w:ascii="Calibri" w:hAnsi="Calibri" w:cs="Calibri"/>
                <w:color w:val="000000"/>
              </w:rPr>
              <w:t>0.08%</w:t>
            </w:r>
          </w:p>
        </w:tc>
        <w:tc>
          <w:tcPr>
            <w:tcW w:w="1304" w:type="dxa"/>
            <w:tcBorders>
              <w:top w:val="single" w:sz="4" w:space="0" w:color="000000"/>
              <w:left w:val="single" w:sz="4" w:space="0" w:color="000000"/>
              <w:bottom w:val="single" w:sz="4" w:space="0" w:color="000000"/>
              <w:right w:val="single" w:sz="4" w:space="0" w:color="000000"/>
            </w:tcBorders>
            <w:vAlign w:val="center"/>
          </w:tcPr>
          <w:p w14:paraId="0FE12182" w14:textId="7509F815" w:rsidR="004E0C73" w:rsidRPr="00110A31" w:rsidRDefault="004E0C73" w:rsidP="004E0C73">
            <w:pPr>
              <w:pStyle w:val="TableParagraph"/>
              <w:spacing w:before="40"/>
              <w:ind w:left="10" w:right="1"/>
              <w:jc w:val="center"/>
              <w:rPr>
                <w:sz w:val="20"/>
              </w:rPr>
            </w:pPr>
            <w:r w:rsidRPr="00110A31">
              <w:rPr>
                <w:rFonts w:ascii="Calibri" w:hAnsi="Calibri" w:cs="Calibri"/>
                <w:color w:val="000000"/>
              </w:rPr>
              <w:t>0.00%</w:t>
            </w:r>
          </w:p>
        </w:tc>
        <w:tc>
          <w:tcPr>
            <w:tcW w:w="1304" w:type="dxa"/>
            <w:tcBorders>
              <w:top w:val="single" w:sz="4" w:space="0" w:color="000000"/>
              <w:left w:val="single" w:sz="4" w:space="0" w:color="000000"/>
              <w:bottom w:val="single" w:sz="4" w:space="0" w:color="000000"/>
              <w:right w:val="single" w:sz="4" w:space="0" w:color="000000"/>
            </w:tcBorders>
            <w:vAlign w:val="center"/>
          </w:tcPr>
          <w:p w14:paraId="75C3E7F4" w14:textId="7D6C49E1" w:rsidR="004E0C73" w:rsidRPr="00110A31" w:rsidRDefault="004E0C73" w:rsidP="004E0C73">
            <w:pPr>
              <w:pStyle w:val="TableParagraph"/>
              <w:spacing w:before="40"/>
              <w:ind w:left="10" w:right="1"/>
              <w:jc w:val="center"/>
              <w:rPr>
                <w:sz w:val="20"/>
              </w:rPr>
            </w:pPr>
            <w:r w:rsidRPr="00110A31">
              <w:rPr>
                <w:rFonts w:ascii="Calibri" w:hAnsi="Calibri" w:cs="Calibri"/>
                <w:color w:val="000000"/>
              </w:rPr>
              <w:t>0.12%</w:t>
            </w:r>
          </w:p>
        </w:tc>
      </w:tr>
      <w:tr w:rsidR="006D0DC0" w14:paraId="462B08F7" w14:textId="228FB812" w:rsidTr="00110A31">
        <w:trPr>
          <w:trHeight w:val="311"/>
        </w:trPr>
        <w:tc>
          <w:tcPr>
            <w:tcW w:w="4478" w:type="dxa"/>
          </w:tcPr>
          <w:p w14:paraId="424F2247" w14:textId="77777777" w:rsidR="006D0DC0" w:rsidRDefault="006D0DC0" w:rsidP="006D0DC0">
            <w:pPr>
              <w:pStyle w:val="TableParagraph"/>
              <w:spacing w:before="40"/>
              <w:ind w:left="4"/>
              <w:rPr>
                <w:sz w:val="20"/>
              </w:rPr>
            </w:pPr>
            <w:r w:rsidRPr="00C7327A">
              <w:rPr>
                <w:sz w:val="20"/>
                <w:szCs w:val="20"/>
              </w:rPr>
              <w:t>The</w:t>
            </w:r>
            <w:r w:rsidRPr="00C7327A">
              <w:rPr>
                <w:spacing w:val="-6"/>
                <w:sz w:val="20"/>
                <w:szCs w:val="20"/>
              </w:rPr>
              <w:t xml:space="preserve"> </w:t>
            </w:r>
            <w:r w:rsidRPr="00C7327A">
              <w:rPr>
                <w:sz w:val="20"/>
                <w:szCs w:val="20"/>
              </w:rPr>
              <w:t>Legal</w:t>
            </w:r>
            <w:r w:rsidRPr="00C7327A">
              <w:rPr>
                <w:spacing w:val="-5"/>
                <w:sz w:val="20"/>
                <w:szCs w:val="20"/>
              </w:rPr>
              <w:t xml:space="preserve"> </w:t>
            </w:r>
            <w:r w:rsidRPr="00C7327A">
              <w:rPr>
                <w:sz w:val="20"/>
                <w:szCs w:val="20"/>
              </w:rPr>
              <w:t>&amp;</w:t>
            </w:r>
            <w:r w:rsidRPr="00C7327A">
              <w:rPr>
                <w:spacing w:val="-5"/>
                <w:sz w:val="20"/>
                <w:szCs w:val="20"/>
              </w:rPr>
              <w:t xml:space="preserve"> </w:t>
            </w:r>
            <w:r w:rsidRPr="00C7327A">
              <w:rPr>
                <w:sz w:val="20"/>
                <w:szCs w:val="20"/>
              </w:rPr>
              <w:t>General</w:t>
            </w:r>
            <w:r w:rsidRPr="00C7327A">
              <w:rPr>
                <w:spacing w:val="-5"/>
                <w:sz w:val="20"/>
                <w:szCs w:val="20"/>
              </w:rPr>
              <w:t xml:space="preserve"> </w:t>
            </w:r>
            <w:r w:rsidRPr="00C7327A">
              <w:rPr>
                <w:sz w:val="20"/>
                <w:szCs w:val="20"/>
              </w:rPr>
              <w:t>Annuity</w:t>
            </w:r>
            <w:r w:rsidRPr="00C7327A">
              <w:rPr>
                <w:spacing w:val="-3"/>
                <w:sz w:val="20"/>
                <w:szCs w:val="20"/>
              </w:rPr>
              <w:t xml:space="preserve"> </w:t>
            </w:r>
            <w:r w:rsidRPr="00C7327A">
              <w:rPr>
                <w:spacing w:val="-2"/>
                <w:sz w:val="20"/>
                <w:szCs w:val="20"/>
              </w:rPr>
              <w:t>Lifestyle</w:t>
            </w:r>
          </w:p>
        </w:tc>
        <w:tc>
          <w:tcPr>
            <w:tcW w:w="1304" w:type="dxa"/>
            <w:vAlign w:val="center"/>
          </w:tcPr>
          <w:p w14:paraId="70E2CB6B" w14:textId="329C3EBE" w:rsidR="006D0DC0" w:rsidRPr="00B81408" w:rsidRDefault="006D0DC0" w:rsidP="006D0DC0">
            <w:pPr>
              <w:pStyle w:val="TableParagraph"/>
              <w:spacing w:before="40"/>
              <w:ind w:left="16" w:right="6"/>
              <w:jc w:val="center"/>
              <w:rPr>
                <w:spacing w:val="-4"/>
                <w:sz w:val="20"/>
                <w:highlight w:val="lightGray"/>
              </w:rPr>
            </w:pPr>
            <w:r w:rsidRPr="002D6A6E">
              <w:rPr>
                <w:sz w:val="20"/>
              </w:rPr>
              <w:t>0.04</w:t>
            </w:r>
          </w:p>
        </w:tc>
        <w:tc>
          <w:tcPr>
            <w:tcW w:w="1304" w:type="dxa"/>
          </w:tcPr>
          <w:p w14:paraId="47A2A89A" w14:textId="22C3652E"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c>
          <w:tcPr>
            <w:tcW w:w="1304" w:type="dxa"/>
          </w:tcPr>
          <w:p w14:paraId="04034CCB" w14:textId="3D0D5600" w:rsidR="006D0DC0" w:rsidRPr="00B81408" w:rsidRDefault="006D0DC0" w:rsidP="006D0DC0">
            <w:pPr>
              <w:pStyle w:val="TableParagraph"/>
              <w:spacing w:before="40"/>
              <w:ind w:left="10" w:right="1"/>
              <w:jc w:val="center"/>
              <w:rPr>
                <w:sz w:val="20"/>
                <w:highlight w:val="lightGray"/>
              </w:rPr>
            </w:pPr>
            <w:r w:rsidRPr="00785D13">
              <w:rPr>
                <w:sz w:val="20"/>
              </w:rPr>
              <w:t>N/A</w:t>
            </w:r>
          </w:p>
        </w:tc>
        <w:tc>
          <w:tcPr>
            <w:tcW w:w="1304" w:type="dxa"/>
          </w:tcPr>
          <w:p w14:paraId="7E953ED6" w14:textId="42ED9D21"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r>
      <w:tr w:rsidR="006D0DC0" w14:paraId="48C51521" w14:textId="5920E3C7" w:rsidTr="00110A31">
        <w:trPr>
          <w:trHeight w:val="311"/>
        </w:trPr>
        <w:tc>
          <w:tcPr>
            <w:tcW w:w="4478" w:type="dxa"/>
          </w:tcPr>
          <w:p w14:paraId="7C03D095" w14:textId="77777777" w:rsidR="006D0DC0" w:rsidRDefault="006D0DC0" w:rsidP="006D0DC0">
            <w:pPr>
              <w:pStyle w:val="TableParagraph"/>
              <w:spacing w:before="40"/>
              <w:ind w:left="4"/>
              <w:rPr>
                <w:sz w:val="20"/>
              </w:rPr>
            </w:pPr>
            <w:r w:rsidRPr="00C7327A">
              <w:rPr>
                <w:sz w:val="20"/>
                <w:szCs w:val="20"/>
              </w:rPr>
              <w:t>The</w:t>
            </w:r>
            <w:r w:rsidRPr="00C7327A">
              <w:rPr>
                <w:spacing w:val="-4"/>
                <w:sz w:val="20"/>
                <w:szCs w:val="20"/>
              </w:rPr>
              <w:t xml:space="preserve"> </w:t>
            </w:r>
            <w:r w:rsidRPr="00C7327A">
              <w:rPr>
                <w:sz w:val="20"/>
                <w:szCs w:val="20"/>
              </w:rPr>
              <w:t>Legal</w:t>
            </w:r>
            <w:r w:rsidRPr="00C7327A">
              <w:rPr>
                <w:spacing w:val="-4"/>
                <w:sz w:val="20"/>
                <w:szCs w:val="20"/>
              </w:rPr>
              <w:t xml:space="preserve"> </w:t>
            </w:r>
            <w:r w:rsidRPr="00C7327A">
              <w:rPr>
                <w:sz w:val="20"/>
                <w:szCs w:val="20"/>
              </w:rPr>
              <w:t>&amp;</w:t>
            </w:r>
            <w:r w:rsidRPr="00C7327A">
              <w:rPr>
                <w:spacing w:val="-3"/>
                <w:sz w:val="20"/>
                <w:szCs w:val="20"/>
              </w:rPr>
              <w:t xml:space="preserve"> </w:t>
            </w:r>
            <w:r w:rsidRPr="00C7327A">
              <w:rPr>
                <w:sz w:val="20"/>
                <w:szCs w:val="20"/>
              </w:rPr>
              <w:t>General</w:t>
            </w:r>
            <w:r w:rsidRPr="00C7327A">
              <w:rPr>
                <w:spacing w:val="-4"/>
                <w:sz w:val="20"/>
                <w:szCs w:val="20"/>
              </w:rPr>
              <w:t xml:space="preserve"> </w:t>
            </w:r>
            <w:r w:rsidRPr="00C7327A">
              <w:rPr>
                <w:sz w:val="20"/>
                <w:szCs w:val="20"/>
              </w:rPr>
              <w:t>Cash</w:t>
            </w:r>
            <w:r w:rsidRPr="00C7327A">
              <w:rPr>
                <w:spacing w:val="-3"/>
                <w:sz w:val="20"/>
                <w:szCs w:val="20"/>
              </w:rPr>
              <w:t xml:space="preserve"> </w:t>
            </w:r>
            <w:r w:rsidRPr="00C7327A">
              <w:rPr>
                <w:spacing w:val="-2"/>
                <w:sz w:val="20"/>
                <w:szCs w:val="20"/>
              </w:rPr>
              <w:t>Lifestyle</w:t>
            </w:r>
          </w:p>
        </w:tc>
        <w:tc>
          <w:tcPr>
            <w:tcW w:w="1304" w:type="dxa"/>
            <w:vAlign w:val="center"/>
          </w:tcPr>
          <w:p w14:paraId="3965D0B3" w14:textId="2F1FC349" w:rsidR="006D0DC0" w:rsidRPr="00B81408" w:rsidRDefault="006D0DC0" w:rsidP="006D0DC0">
            <w:pPr>
              <w:pStyle w:val="TableParagraph"/>
              <w:spacing w:before="40"/>
              <w:ind w:left="16" w:right="6"/>
              <w:jc w:val="center"/>
              <w:rPr>
                <w:spacing w:val="-4"/>
                <w:sz w:val="20"/>
                <w:highlight w:val="lightGray"/>
              </w:rPr>
            </w:pPr>
            <w:r w:rsidRPr="002D6A6E">
              <w:rPr>
                <w:sz w:val="20"/>
              </w:rPr>
              <w:t>0.04</w:t>
            </w:r>
          </w:p>
        </w:tc>
        <w:tc>
          <w:tcPr>
            <w:tcW w:w="1304" w:type="dxa"/>
          </w:tcPr>
          <w:p w14:paraId="12044483" w14:textId="43A911FF"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c>
          <w:tcPr>
            <w:tcW w:w="1304" w:type="dxa"/>
          </w:tcPr>
          <w:p w14:paraId="1C9A3CB6" w14:textId="48242EDD" w:rsidR="006D0DC0" w:rsidRPr="00B81408" w:rsidRDefault="006D0DC0" w:rsidP="006D0DC0">
            <w:pPr>
              <w:pStyle w:val="TableParagraph"/>
              <w:spacing w:before="40"/>
              <w:ind w:left="10" w:right="1"/>
              <w:jc w:val="center"/>
              <w:rPr>
                <w:sz w:val="20"/>
                <w:highlight w:val="lightGray"/>
              </w:rPr>
            </w:pPr>
            <w:r w:rsidRPr="00785D13">
              <w:rPr>
                <w:sz w:val="20"/>
              </w:rPr>
              <w:t>N/A</w:t>
            </w:r>
          </w:p>
        </w:tc>
        <w:tc>
          <w:tcPr>
            <w:tcW w:w="1304" w:type="dxa"/>
          </w:tcPr>
          <w:p w14:paraId="5DCF36E9" w14:textId="30B1D979"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r>
      <w:tr w:rsidR="006D0DC0" w14:paraId="3D9DFEFC" w14:textId="726430DE" w:rsidTr="00110A31">
        <w:trPr>
          <w:trHeight w:val="311"/>
        </w:trPr>
        <w:tc>
          <w:tcPr>
            <w:tcW w:w="4478" w:type="dxa"/>
          </w:tcPr>
          <w:p w14:paraId="4BC86E07" w14:textId="77777777" w:rsidR="006D0DC0" w:rsidRDefault="006D0DC0" w:rsidP="006D0DC0">
            <w:pPr>
              <w:pStyle w:val="TableParagraph"/>
              <w:spacing w:before="40"/>
              <w:ind w:left="4"/>
              <w:rPr>
                <w:sz w:val="20"/>
              </w:rPr>
            </w:pPr>
            <w:r w:rsidRPr="00C7327A">
              <w:rPr>
                <w:sz w:val="20"/>
                <w:szCs w:val="20"/>
              </w:rPr>
              <w:t>The</w:t>
            </w:r>
            <w:r w:rsidRPr="00C7327A">
              <w:rPr>
                <w:spacing w:val="-5"/>
                <w:sz w:val="20"/>
                <w:szCs w:val="20"/>
              </w:rPr>
              <w:t xml:space="preserve"> </w:t>
            </w:r>
            <w:r w:rsidRPr="00C7327A">
              <w:rPr>
                <w:sz w:val="20"/>
                <w:szCs w:val="20"/>
              </w:rPr>
              <w:t>Legal</w:t>
            </w:r>
            <w:r w:rsidRPr="00C7327A">
              <w:rPr>
                <w:spacing w:val="-5"/>
                <w:sz w:val="20"/>
                <w:szCs w:val="20"/>
              </w:rPr>
              <w:t xml:space="preserve"> </w:t>
            </w:r>
            <w:r w:rsidRPr="00C7327A">
              <w:rPr>
                <w:sz w:val="20"/>
                <w:szCs w:val="20"/>
              </w:rPr>
              <w:t>&amp;</w:t>
            </w:r>
            <w:r w:rsidRPr="00C7327A">
              <w:rPr>
                <w:spacing w:val="-4"/>
                <w:sz w:val="20"/>
                <w:szCs w:val="20"/>
              </w:rPr>
              <w:t xml:space="preserve"> </w:t>
            </w:r>
            <w:r w:rsidRPr="00C7327A">
              <w:rPr>
                <w:sz w:val="20"/>
                <w:szCs w:val="20"/>
              </w:rPr>
              <w:t>General</w:t>
            </w:r>
            <w:r w:rsidRPr="00C7327A">
              <w:rPr>
                <w:spacing w:val="-5"/>
                <w:sz w:val="20"/>
                <w:szCs w:val="20"/>
              </w:rPr>
              <w:t xml:space="preserve"> </w:t>
            </w:r>
            <w:r w:rsidRPr="00C7327A">
              <w:rPr>
                <w:sz w:val="20"/>
                <w:szCs w:val="20"/>
              </w:rPr>
              <w:t>Drawdown</w:t>
            </w:r>
            <w:r w:rsidRPr="00C7327A">
              <w:rPr>
                <w:spacing w:val="-3"/>
                <w:sz w:val="20"/>
                <w:szCs w:val="20"/>
              </w:rPr>
              <w:t xml:space="preserve"> </w:t>
            </w:r>
            <w:r w:rsidRPr="00C7327A">
              <w:rPr>
                <w:spacing w:val="-2"/>
                <w:sz w:val="20"/>
                <w:szCs w:val="20"/>
              </w:rPr>
              <w:t>Lifestyle</w:t>
            </w:r>
          </w:p>
        </w:tc>
        <w:tc>
          <w:tcPr>
            <w:tcW w:w="1304" w:type="dxa"/>
            <w:vAlign w:val="center"/>
          </w:tcPr>
          <w:p w14:paraId="6331D09E" w14:textId="70938D33" w:rsidR="006D0DC0" w:rsidRPr="00B81408" w:rsidRDefault="006D0DC0" w:rsidP="006D0DC0">
            <w:pPr>
              <w:pStyle w:val="TableParagraph"/>
              <w:spacing w:before="40"/>
              <w:ind w:left="16" w:right="6"/>
              <w:jc w:val="center"/>
              <w:rPr>
                <w:spacing w:val="-4"/>
                <w:sz w:val="20"/>
                <w:highlight w:val="lightGray"/>
              </w:rPr>
            </w:pPr>
            <w:r w:rsidRPr="002D6A6E">
              <w:rPr>
                <w:sz w:val="20"/>
              </w:rPr>
              <w:t>0.04</w:t>
            </w:r>
          </w:p>
        </w:tc>
        <w:tc>
          <w:tcPr>
            <w:tcW w:w="1304" w:type="dxa"/>
          </w:tcPr>
          <w:p w14:paraId="091D2195" w14:textId="2F26BC36"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c>
          <w:tcPr>
            <w:tcW w:w="1304" w:type="dxa"/>
          </w:tcPr>
          <w:p w14:paraId="284723C6" w14:textId="7C0F3AFB" w:rsidR="006D0DC0" w:rsidRPr="00B81408" w:rsidRDefault="006D0DC0" w:rsidP="006D0DC0">
            <w:pPr>
              <w:pStyle w:val="TableParagraph"/>
              <w:spacing w:before="40"/>
              <w:ind w:left="10" w:right="1"/>
              <w:jc w:val="center"/>
              <w:rPr>
                <w:sz w:val="20"/>
                <w:highlight w:val="lightGray"/>
              </w:rPr>
            </w:pPr>
            <w:r w:rsidRPr="00785D13">
              <w:rPr>
                <w:sz w:val="20"/>
              </w:rPr>
              <w:t>N/A</w:t>
            </w:r>
          </w:p>
        </w:tc>
        <w:tc>
          <w:tcPr>
            <w:tcW w:w="1304" w:type="dxa"/>
          </w:tcPr>
          <w:p w14:paraId="08B3A4BF" w14:textId="31F0D2AC"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r>
      <w:tr w:rsidR="006D0DC0" w14:paraId="79F7154E" w14:textId="6990B869" w:rsidTr="00110A31">
        <w:trPr>
          <w:trHeight w:val="311"/>
        </w:trPr>
        <w:tc>
          <w:tcPr>
            <w:tcW w:w="4478" w:type="dxa"/>
          </w:tcPr>
          <w:p w14:paraId="714BE9AD" w14:textId="77777777" w:rsidR="006D0DC0" w:rsidRDefault="006D0DC0" w:rsidP="006D0DC0">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Annuity</w:t>
            </w:r>
            <w:r w:rsidRPr="00C7327A">
              <w:rPr>
                <w:spacing w:val="-4"/>
                <w:sz w:val="20"/>
                <w:szCs w:val="20"/>
              </w:rPr>
              <w:t xml:space="preserve"> </w:t>
            </w:r>
            <w:r w:rsidRPr="00C7327A">
              <w:rPr>
                <w:sz w:val="20"/>
                <w:szCs w:val="20"/>
              </w:rPr>
              <w:t>Lifestyle</w:t>
            </w:r>
            <w:r w:rsidRPr="00C7327A">
              <w:rPr>
                <w:spacing w:val="-5"/>
                <w:sz w:val="20"/>
                <w:szCs w:val="20"/>
              </w:rPr>
              <w:t xml:space="preserve"> </w:t>
            </w:r>
            <w:r w:rsidRPr="00C7327A">
              <w:rPr>
                <w:sz w:val="20"/>
                <w:szCs w:val="20"/>
              </w:rPr>
              <w:t>-</w:t>
            </w:r>
            <w:r w:rsidRPr="00C7327A">
              <w:rPr>
                <w:spacing w:val="-6"/>
                <w:sz w:val="20"/>
                <w:szCs w:val="20"/>
              </w:rPr>
              <w:t xml:space="preserve"> </w:t>
            </w:r>
            <w:r w:rsidRPr="00C7327A">
              <w:rPr>
                <w:sz w:val="20"/>
                <w:szCs w:val="20"/>
              </w:rPr>
              <w:t>MT</w:t>
            </w:r>
            <w:r w:rsidRPr="00C7327A">
              <w:rPr>
                <w:spacing w:val="-3"/>
                <w:sz w:val="20"/>
                <w:szCs w:val="20"/>
              </w:rPr>
              <w:t xml:space="preserve"> </w:t>
            </w:r>
            <w:r w:rsidRPr="00C7327A">
              <w:rPr>
                <w:sz w:val="20"/>
                <w:szCs w:val="20"/>
              </w:rPr>
              <w:t>Future</w:t>
            </w:r>
            <w:r w:rsidRPr="00C7327A">
              <w:rPr>
                <w:spacing w:val="-6"/>
                <w:sz w:val="20"/>
                <w:szCs w:val="20"/>
              </w:rPr>
              <w:t xml:space="preserve"> </w:t>
            </w:r>
            <w:r w:rsidRPr="00C7327A">
              <w:rPr>
                <w:sz w:val="20"/>
                <w:szCs w:val="20"/>
              </w:rPr>
              <w:t>World</w:t>
            </w:r>
            <w:r w:rsidRPr="00C7327A">
              <w:rPr>
                <w:spacing w:val="-4"/>
                <w:sz w:val="20"/>
                <w:szCs w:val="20"/>
              </w:rPr>
              <w:t xml:space="preserve"> </w:t>
            </w:r>
            <w:r w:rsidRPr="00C7327A">
              <w:rPr>
                <w:spacing w:val="-5"/>
                <w:sz w:val="20"/>
                <w:szCs w:val="20"/>
              </w:rPr>
              <w:t>MAF</w:t>
            </w:r>
          </w:p>
        </w:tc>
        <w:tc>
          <w:tcPr>
            <w:tcW w:w="1304" w:type="dxa"/>
            <w:vAlign w:val="center"/>
          </w:tcPr>
          <w:p w14:paraId="085093C7" w14:textId="679CDAE1" w:rsidR="006D0DC0" w:rsidRPr="00B81408" w:rsidRDefault="006D0DC0" w:rsidP="006D0DC0">
            <w:pPr>
              <w:pStyle w:val="TableParagraph"/>
              <w:spacing w:before="40"/>
              <w:ind w:left="16" w:right="6"/>
              <w:jc w:val="center"/>
              <w:rPr>
                <w:spacing w:val="-4"/>
                <w:sz w:val="20"/>
                <w:highlight w:val="lightGray"/>
              </w:rPr>
            </w:pPr>
            <w:r w:rsidRPr="002D6A6E">
              <w:rPr>
                <w:sz w:val="20"/>
              </w:rPr>
              <w:t>0.04</w:t>
            </w:r>
          </w:p>
        </w:tc>
        <w:tc>
          <w:tcPr>
            <w:tcW w:w="1304" w:type="dxa"/>
          </w:tcPr>
          <w:p w14:paraId="1641EB93" w14:textId="6F56A771"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c>
          <w:tcPr>
            <w:tcW w:w="1304" w:type="dxa"/>
          </w:tcPr>
          <w:p w14:paraId="6DD27B22" w14:textId="6A62886B" w:rsidR="006D0DC0" w:rsidRPr="00B81408" w:rsidRDefault="006D0DC0" w:rsidP="006D0DC0">
            <w:pPr>
              <w:pStyle w:val="TableParagraph"/>
              <w:spacing w:before="40"/>
              <w:ind w:left="10" w:right="1"/>
              <w:jc w:val="center"/>
              <w:rPr>
                <w:sz w:val="20"/>
                <w:highlight w:val="lightGray"/>
              </w:rPr>
            </w:pPr>
            <w:r w:rsidRPr="00785D13">
              <w:rPr>
                <w:sz w:val="20"/>
              </w:rPr>
              <w:t>N/A</w:t>
            </w:r>
          </w:p>
        </w:tc>
        <w:tc>
          <w:tcPr>
            <w:tcW w:w="1304" w:type="dxa"/>
          </w:tcPr>
          <w:p w14:paraId="6FFF8A27" w14:textId="7ECED08B"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r>
      <w:tr w:rsidR="006D0DC0" w14:paraId="3D0D0EC6" w14:textId="62E6CD80" w:rsidTr="00110A31">
        <w:trPr>
          <w:trHeight w:val="311"/>
        </w:trPr>
        <w:tc>
          <w:tcPr>
            <w:tcW w:w="4478" w:type="dxa"/>
          </w:tcPr>
          <w:p w14:paraId="16F9464D" w14:textId="77777777" w:rsidR="006D0DC0" w:rsidRDefault="006D0DC0" w:rsidP="006D0DC0">
            <w:pPr>
              <w:pStyle w:val="TableParagraph"/>
              <w:spacing w:before="40"/>
              <w:ind w:left="4"/>
              <w:rPr>
                <w:sz w:val="20"/>
              </w:rPr>
            </w:pPr>
            <w:r w:rsidRPr="00C7327A">
              <w:rPr>
                <w:sz w:val="20"/>
                <w:szCs w:val="20"/>
              </w:rPr>
              <w:t>L&amp;G</w:t>
            </w:r>
            <w:r w:rsidRPr="00C7327A">
              <w:rPr>
                <w:spacing w:val="-3"/>
                <w:sz w:val="20"/>
                <w:szCs w:val="20"/>
              </w:rPr>
              <w:t xml:space="preserve"> </w:t>
            </w:r>
            <w:r w:rsidRPr="00C7327A">
              <w:rPr>
                <w:sz w:val="20"/>
                <w:szCs w:val="20"/>
              </w:rPr>
              <w:t>Cash</w:t>
            </w:r>
            <w:r w:rsidRPr="00C7327A">
              <w:rPr>
                <w:spacing w:val="-4"/>
                <w:sz w:val="20"/>
                <w:szCs w:val="20"/>
              </w:rPr>
              <w:t xml:space="preserve"> </w:t>
            </w:r>
            <w:r w:rsidRPr="00C7327A">
              <w:rPr>
                <w:sz w:val="20"/>
                <w:szCs w:val="20"/>
              </w:rPr>
              <w:t>Lifestyle</w:t>
            </w:r>
            <w:r w:rsidRPr="00C7327A">
              <w:rPr>
                <w:spacing w:val="-4"/>
                <w:sz w:val="20"/>
                <w:szCs w:val="20"/>
              </w:rPr>
              <w:t xml:space="preserve"> </w:t>
            </w:r>
            <w:r w:rsidRPr="00C7327A">
              <w:rPr>
                <w:sz w:val="20"/>
                <w:szCs w:val="20"/>
              </w:rPr>
              <w:t>-</w:t>
            </w:r>
            <w:r w:rsidRPr="00C7327A">
              <w:rPr>
                <w:spacing w:val="-5"/>
                <w:sz w:val="20"/>
                <w:szCs w:val="20"/>
              </w:rPr>
              <w:t xml:space="preserve"> </w:t>
            </w:r>
            <w:r w:rsidRPr="00C7327A">
              <w:rPr>
                <w:sz w:val="20"/>
                <w:szCs w:val="20"/>
              </w:rPr>
              <w:t>MT</w:t>
            </w:r>
            <w:r w:rsidRPr="00C7327A">
              <w:rPr>
                <w:spacing w:val="-2"/>
                <w:sz w:val="20"/>
                <w:szCs w:val="20"/>
              </w:rPr>
              <w:t xml:space="preserve"> </w:t>
            </w:r>
            <w:r w:rsidRPr="00C7327A">
              <w:rPr>
                <w:sz w:val="20"/>
                <w:szCs w:val="20"/>
              </w:rPr>
              <w:t>Future</w:t>
            </w:r>
            <w:r w:rsidRPr="00C7327A">
              <w:rPr>
                <w:spacing w:val="-5"/>
                <w:sz w:val="20"/>
                <w:szCs w:val="20"/>
              </w:rPr>
              <w:t xml:space="preserve"> </w:t>
            </w:r>
            <w:r w:rsidRPr="00C7327A">
              <w:rPr>
                <w:sz w:val="20"/>
                <w:szCs w:val="20"/>
              </w:rPr>
              <w:t>World</w:t>
            </w:r>
            <w:r w:rsidRPr="00C7327A">
              <w:rPr>
                <w:spacing w:val="-3"/>
                <w:sz w:val="20"/>
                <w:szCs w:val="20"/>
              </w:rPr>
              <w:t xml:space="preserve"> </w:t>
            </w:r>
            <w:r w:rsidRPr="00C7327A">
              <w:rPr>
                <w:spacing w:val="-5"/>
                <w:sz w:val="20"/>
                <w:szCs w:val="20"/>
              </w:rPr>
              <w:t>MAF</w:t>
            </w:r>
          </w:p>
        </w:tc>
        <w:tc>
          <w:tcPr>
            <w:tcW w:w="1304" w:type="dxa"/>
            <w:vAlign w:val="center"/>
          </w:tcPr>
          <w:p w14:paraId="740AC047" w14:textId="0785E599" w:rsidR="006D0DC0" w:rsidRPr="00B81408" w:rsidRDefault="006D0DC0" w:rsidP="006D0DC0">
            <w:pPr>
              <w:pStyle w:val="TableParagraph"/>
              <w:spacing w:before="40"/>
              <w:ind w:left="16" w:right="6"/>
              <w:jc w:val="center"/>
              <w:rPr>
                <w:spacing w:val="-4"/>
                <w:sz w:val="20"/>
                <w:highlight w:val="lightGray"/>
              </w:rPr>
            </w:pPr>
            <w:r w:rsidRPr="002D6A6E">
              <w:rPr>
                <w:sz w:val="20"/>
              </w:rPr>
              <w:t>0.04</w:t>
            </w:r>
          </w:p>
        </w:tc>
        <w:tc>
          <w:tcPr>
            <w:tcW w:w="1304" w:type="dxa"/>
          </w:tcPr>
          <w:p w14:paraId="5B7F487F" w14:textId="61186023"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c>
          <w:tcPr>
            <w:tcW w:w="1304" w:type="dxa"/>
          </w:tcPr>
          <w:p w14:paraId="7F84167F" w14:textId="7F2D14CC" w:rsidR="006D0DC0" w:rsidRPr="00B81408" w:rsidRDefault="006D0DC0" w:rsidP="006D0DC0">
            <w:pPr>
              <w:pStyle w:val="TableParagraph"/>
              <w:spacing w:before="40"/>
              <w:ind w:left="10" w:right="1"/>
              <w:jc w:val="center"/>
              <w:rPr>
                <w:sz w:val="20"/>
                <w:highlight w:val="lightGray"/>
              </w:rPr>
            </w:pPr>
            <w:r w:rsidRPr="00785D13">
              <w:rPr>
                <w:sz w:val="20"/>
              </w:rPr>
              <w:t>N/A</w:t>
            </w:r>
          </w:p>
        </w:tc>
        <w:tc>
          <w:tcPr>
            <w:tcW w:w="1304" w:type="dxa"/>
          </w:tcPr>
          <w:p w14:paraId="4B66A3F5" w14:textId="5F237050"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r>
      <w:tr w:rsidR="006D0DC0" w14:paraId="0B72E16B" w14:textId="06A777FB" w:rsidTr="00110A31">
        <w:trPr>
          <w:trHeight w:val="311"/>
        </w:trPr>
        <w:tc>
          <w:tcPr>
            <w:tcW w:w="4478" w:type="dxa"/>
          </w:tcPr>
          <w:p w14:paraId="38FC8537" w14:textId="77777777" w:rsidR="006D0DC0" w:rsidRDefault="006D0DC0" w:rsidP="006D0DC0">
            <w:pPr>
              <w:pStyle w:val="TableParagraph"/>
              <w:spacing w:before="40"/>
              <w:ind w:left="4"/>
              <w:rPr>
                <w:sz w:val="20"/>
              </w:rPr>
            </w:pPr>
            <w:r w:rsidRPr="00C7327A">
              <w:rPr>
                <w:sz w:val="20"/>
                <w:szCs w:val="20"/>
              </w:rPr>
              <w:t>L&amp;G</w:t>
            </w:r>
            <w:r w:rsidRPr="00C7327A">
              <w:rPr>
                <w:spacing w:val="-4"/>
                <w:sz w:val="20"/>
                <w:szCs w:val="20"/>
              </w:rPr>
              <w:t xml:space="preserve"> </w:t>
            </w:r>
            <w:r w:rsidRPr="00C7327A">
              <w:rPr>
                <w:sz w:val="20"/>
                <w:szCs w:val="20"/>
              </w:rPr>
              <w:t>Drawdown</w:t>
            </w:r>
            <w:r w:rsidRPr="00C7327A">
              <w:rPr>
                <w:spacing w:val="-4"/>
                <w:sz w:val="20"/>
                <w:szCs w:val="20"/>
              </w:rPr>
              <w:t xml:space="preserve"> </w:t>
            </w:r>
            <w:r w:rsidRPr="00C7327A">
              <w:rPr>
                <w:sz w:val="20"/>
                <w:szCs w:val="20"/>
              </w:rPr>
              <w:t>Lifestyle</w:t>
            </w:r>
            <w:r w:rsidRPr="00C7327A">
              <w:rPr>
                <w:spacing w:val="-5"/>
                <w:sz w:val="20"/>
                <w:szCs w:val="20"/>
              </w:rPr>
              <w:t xml:space="preserve"> </w:t>
            </w:r>
            <w:r w:rsidRPr="00C7327A">
              <w:rPr>
                <w:sz w:val="20"/>
                <w:szCs w:val="20"/>
              </w:rPr>
              <w:t>-</w:t>
            </w:r>
            <w:r w:rsidRPr="00C7327A">
              <w:rPr>
                <w:spacing w:val="-5"/>
                <w:sz w:val="20"/>
                <w:szCs w:val="20"/>
              </w:rPr>
              <w:t xml:space="preserve"> </w:t>
            </w:r>
            <w:r w:rsidRPr="00C7327A">
              <w:rPr>
                <w:sz w:val="20"/>
                <w:szCs w:val="20"/>
              </w:rPr>
              <w:t>MT</w:t>
            </w:r>
            <w:r w:rsidRPr="00C7327A">
              <w:rPr>
                <w:spacing w:val="-3"/>
                <w:sz w:val="20"/>
                <w:szCs w:val="20"/>
              </w:rPr>
              <w:t xml:space="preserve"> </w:t>
            </w:r>
            <w:r w:rsidRPr="00C7327A">
              <w:rPr>
                <w:sz w:val="20"/>
                <w:szCs w:val="20"/>
              </w:rPr>
              <w:t>Future</w:t>
            </w:r>
            <w:r w:rsidRPr="00C7327A">
              <w:rPr>
                <w:spacing w:val="-5"/>
                <w:sz w:val="20"/>
                <w:szCs w:val="20"/>
              </w:rPr>
              <w:t xml:space="preserve"> </w:t>
            </w:r>
            <w:r w:rsidRPr="00C7327A">
              <w:rPr>
                <w:sz w:val="20"/>
                <w:szCs w:val="20"/>
              </w:rPr>
              <w:t>World</w:t>
            </w:r>
            <w:r w:rsidRPr="00C7327A">
              <w:rPr>
                <w:spacing w:val="-4"/>
                <w:sz w:val="20"/>
                <w:szCs w:val="20"/>
              </w:rPr>
              <w:t xml:space="preserve"> </w:t>
            </w:r>
            <w:r w:rsidRPr="00C7327A">
              <w:rPr>
                <w:spacing w:val="-5"/>
                <w:sz w:val="20"/>
                <w:szCs w:val="20"/>
              </w:rPr>
              <w:t>MAF</w:t>
            </w:r>
          </w:p>
        </w:tc>
        <w:tc>
          <w:tcPr>
            <w:tcW w:w="1304" w:type="dxa"/>
            <w:vAlign w:val="center"/>
          </w:tcPr>
          <w:p w14:paraId="4A8F6D2A" w14:textId="36C5DBB9" w:rsidR="006D0DC0" w:rsidRPr="00B81408" w:rsidRDefault="006D0DC0" w:rsidP="006D0DC0">
            <w:pPr>
              <w:pStyle w:val="TableParagraph"/>
              <w:spacing w:before="40"/>
              <w:ind w:left="16" w:right="6"/>
              <w:jc w:val="center"/>
              <w:rPr>
                <w:spacing w:val="-4"/>
                <w:sz w:val="20"/>
                <w:highlight w:val="lightGray"/>
              </w:rPr>
            </w:pPr>
            <w:r w:rsidRPr="002D6A6E">
              <w:rPr>
                <w:sz w:val="20"/>
              </w:rPr>
              <w:t>0.04</w:t>
            </w:r>
          </w:p>
        </w:tc>
        <w:tc>
          <w:tcPr>
            <w:tcW w:w="1304" w:type="dxa"/>
          </w:tcPr>
          <w:p w14:paraId="7B5BCA75" w14:textId="7F83E080"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c>
          <w:tcPr>
            <w:tcW w:w="1304" w:type="dxa"/>
          </w:tcPr>
          <w:p w14:paraId="5C477E09" w14:textId="01487B3A" w:rsidR="006D0DC0" w:rsidRPr="00B81408" w:rsidRDefault="006D0DC0" w:rsidP="006D0DC0">
            <w:pPr>
              <w:pStyle w:val="TableParagraph"/>
              <w:spacing w:before="40"/>
              <w:ind w:left="10" w:right="1"/>
              <w:jc w:val="center"/>
              <w:rPr>
                <w:sz w:val="20"/>
                <w:highlight w:val="lightGray"/>
              </w:rPr>
            </w:pPr>
            <w:r w:rsidRPr="00785D13">
              <w:rPr>
                <w:sz w:val="20"/>
              </w:rPr>
              <w:t>N/A</w:t>
            </w:r>
          </w:p>
        </w:tc>
        <w:tc>
          <w:tcPr>
            <w:tcW w:w="1304" w:type="dxa"/>
          </w:tcPr>
          <w:p w14:paraId="61B29459" w14:textId="6D9884CD" w:rsidR="006D0DC0" w:rsidRPr="00B81408" w:rsidRDefault="006D0DC0" w:rsidP="006D0DC0">
            <w:pPr>
              <w:pStyle w:val="TableParagraph"/>
              <w:spacing w:before="40"/>
              <w:ind w:left="10" w:right="1"/>
              <w:jc w:val="center"/>
              <w:rPr>
                <w:sz w:val="20"/>
                <w:highlight w:val="lightGray"/>
              </w:rPr>
            </w:pPr>
            <w:r w:rsidRPr="00785D13">
              <w:rPr>
                <w:spacing w:val="-4"/>
                <w:sz w:val="20"/>
              </w:rPr>
              <w:t>N/A</w:t>
            </w:r>
          </w:p>
        </w:tc>
      </w:tr>
    </w:tbl>
    <w:p w14:paraId="5ABCDD0D" w14:textId="32579976" w:rsidR="00A93824" w:rsidRDefault="00A93824" w:rsidP="00FC6FF5">
      <w:pPr>
        <w:pStyle w:val="BodyText"/>
        <w:spacing w:before="1"/>
        <w:ind w:left="170"/>
        <w:rPr>
          <w:i/>
          <w:sz w:val="18"/>
        </w:rPr>
      </w:pPr>
      <w:r>
        <w:rPr>
          <w:i/>
          <w:sz w:val="18"/>
        </w:rPr>
        <w:t>Note: Given that new contributions were transferred to L&amp;G on the 1</w:t>
      </w:r>
      <w:r w:rsidRPr="00186EB2">
        <w:rPr>
          <w:i/>
          <w:sz w:val="18"/>
          <w:vertAlign w:val="superscript"/>
        </w:rPr>
        <w:t>st</w:t>
      </w:r>
      <w:r>
        <w:rPr>
          <w:i/>
          <w:sz w:val="18"/>
        </w:rPr>
        <w:t xml:space="preserve"> October 2024 and existing members were transferred on 8</w:t>
      </w:r>
      <w:r w:rsidRPr="00186EB2">
        <w:rPr>
          <w:i/>
          <w:sz w:val="18"/>
          <w:vertAlign w:val="superscript"/>
        </w:rPr>
        <w:t>th</w:t>
      </w:r>
      <w:r>
        <w:rPr>
          <w:i/>
          <w:sz w:val="18"/>
        </w:rPr>
        <w:t xml:space="preserve"> January 2025, fund </w:t>
      </w:r>
      <w:r w:rsidR="00361AD2">
        <w:rPr>
          <w:i/>
          <w:sz w:val="18"/>
        </w:rPr>
        <w:t>charges and transaction costs</w:t>
      </w:r>
      <w:r>
        <w:rPr>
          <w:i/>
          <w:sz w:val="18"/>
        </w:rPr>
        <w:t xml:space="preserve"> are indicative and not reflective of actual member experience.</w:t>
      </w:r>
    </w:p>
    <w:p w14:paraId="63720052" w14:textId="77777777" w:rsidR="00361AD2" w:rsidRPr="00FC6FF5" w:rsidRDefault="00361AD2">
      <w:pPr>
        <w:pStyle w:val="BodyText"/>
        <w:spacing w:before="1"/>
        <w:rPr>
          <w:i/>
          <w:sz w:val="18"/>
        </w:rPr>
      </w:pPr>
    </w:p>
    <w:p w14:paraId="533F5AB8" w14:textId="77777777" w:rsidR="00AB3475" w:rsidRDefault="00AB3475">
      <w:pPr>
        <w:pStyle w:val="BodyText"/>
        <w:spacing w:before="1"/>
        <w:rPr>
          <w:sz w:val="20"/>
        </w:rPr>
      </w:pPr>
    </w:p>
    <w:p w14:paraId="533F5ABB" w14:textId="610F78BA" w:rsidR="00AB3475" w:rsidRDefault="00A853B3" w:rsidP="00344243">
      <w:pPr>
        <w:pStyle w:val="BodyText"/>
        <w:ind w:left="199" w:right="551"/>
        <w:jc w:val="both"/>
      </w:pPr>
      <w:r>
        <w:t>To</w:t>
      </w:r>
      <w:r>
        <w:rPr>
          <w:spacing w:val="-2"/>
        </w:rPr>
        <w:t xml:space="preserve"> </w:t>
      </w:r>
      <w:r>
        <w:t>give an example in monetary</w:t>
      </w:r>
      <w:r>
        <w:rPr>
          <w:spacing w:val="-2"/>
        </w:rPr>
        <w:t xml:space="preserve"> </w:t>
      </w:r>
      <w:r>
        <w:t>terms, a member invested in one of the L&amp;G PMC Target Date Funds 3 with a fund value of £1,000 will pay an AMC of £</w:t>
      </w:r>
      <w:r w:rsidR="00DE20D5">
        <w:t>0.40</w:t>
      </w:r>
      <w:r>
        <w:t xml:space="preserve"> a year (paid by cancelling units) plus a FMC of £1.50 a year, paid by adjusting the unit price.</w:t>
      </w:r>
      <w:r>
        <w:rPr>
          <w:spacing w:val="40"/>
        </w:rPr>
        <w:t xml:space="preserve"> </w:t>
      </w:r>
      <w:r>
        <w:t>The costs of buying and selling assets</w:t>
      </w:r>
      <w:r>
        <w:rPr>
          <w:spacing w:val="-8"/>
        </w:rPr>
        <w:t xml:space="preserve"> </w:t>
      </w:r>
      <w:r>
        <w:t>in</w:t>
      </w:r>
      <w:r>
        <w:rPr>
          <w:spacing w:val="-11"/>
        </w:rPr>
        <w:t xml:space="preserve"> </w:t>
      </w:r>
      <w:r>
        <w:t>the</w:t>
      </w:r>
      <w:r>
        <w:rPr>
          <w:spacing w:val="-12"/>
        </w:rPr>
        <w:t xml:space="preserve"> </w:t>
      </w:r>
      <w:r>
        <w:t>L&amp;G</w:t>
      </w:r>
      <w:r>
        <w:rPr>
          <w:spacing w:val="-9"/>
        </w:rPr>
        <w:t xml:space="preserve"> </w:t>
      </w:r>
      <w:r>
        <w:t>PMC</w:t>
      </w:r>
      <w:r>
        <w:rPr>
          <w:spacing w:val="-9"/>
        </w:rPr>
        <w:t xml:space="preserve"> </w:t>
      </w:r>
      <w:r>
        <w:t>Target</w:t>
      </w:r>
      <w:r>
        <w:rPr>
          <w:spacing w:val="-8"/>
        </w:rPr>
        <w:t xml:space="preserve"> </w:t>
      </w:r>
      <w:r>
        <w:t>Date</w:t>
      </w:r>
      <w:r>
        <w:rPr>
          <w:spacing w:val="-9"/>
        </w:rPr>
        <w:t xml:space="preserve"> </w:t>
      </w:r>
      <w:r>
        <w:t>Funds</w:t>
      </w:r>
      <w:r>
        <w:rPr>
          <w:spacing w:val="-11"/>
        </w:rPr>
        <w:t xml:space="preserve"> </w:t>
      </w:r>
      <w:r>
        <w:t>were</w:t>
      </w:r>
      <w:r>
        <w:rPr>
          <w:spacing w:val="-8"/>
        </w:rPr>
        <w:t xml:space="preserve"> </w:t>
      </w:r>
      <w:r>
        <w:t>between</w:t>
      </w:r>
      <w:r>
        <w:rPr>
          <w:spacing w:val="-8"/>
        </w:rPr>
        <w:t xml:space="preserve"> </w:t>
      </w:r>
      <w:r w:rsidR="00B7788D">
        <w:t>nil</w:t>
      </w:r>
      <w:r>
        <w:rPr>
          <w:spacing w:val="-9"/>
        </w:rPr>
        <w:t xml:space="preserve"> </w:t>
      </w:r>
      <w:r>
        <w:t>over</w:t>
      </w:r>
      <w:r>
        <w:rPr>
          <w:spacing w:val="-10"/>
        </w:rPr>
        <w:t xml:space="preserve"> </w:t>
      </w:r>
      <w:r>
        <w:t>the</w:t>
      </w:r>
      <w:r>
        <w:rPr>
          <w:spacing w:val="-9"/>
        </w:rPr>
        <w:t xml:space="preserve"> </w:t>
      </w:r>
      <w:r>
        <w:t>year</w:t>
      </w:r>
      <w:r>
        <w:rPr>
          <w:spacing w:val="-10"/>
        </w:rPr>
        <w:t xml:space="preserve"> </w:t>
      </w:r>
      <w:r>
        <w:t>to</w:t>
      </w:r>
      <w:r>
        <w:rPr>
          <w:spacing w:val="-9"/>
        </w:rPr>
        <w:t xml:space="preserve"> </w:t>
      </w:r>
      <w:r>
        <w:t>31</w:t>
      </w:r>
      <w:r w:rsidR="009A22CA">
        <w:t> </w:t>
      </w:r>
      <w:r w:rsidR="009A22CA">
        <w:rPr>
          <w:spacing w:val="-9"/>
        </w:rPr>
        <w:t>December</w:t>
      </w:r>
      <w:r>
        <w:t xml:space="preserve"> 2024.</w:t>
      </w:r>
      <w:r>
        <w:rPr>
          <w:spacing w:val="40"/>
        </w:rPr>
        <w:t xml:space="preserve"> </w:t>
      </w:r>
      <w:r>
        <w:t>The</w:t>
      </w:r>
      <w:r>
        <w:rPr>
          <w:spacing w:val="-9"/>
        </w:rPr>
        <w:t xml:space="preserve"> </w:t>
      </w:r>
      <w:r>
        <w:t>unit</w:t>
      </w:r>
      <w:r>
        <w:rPr>
          <w:spacing w:val="-7"/>
        </w:rPr>
        <w:t xml:space="preserve"> </w:t>
      </w:r>
      <w:r>
        <w:t>price</w:t>
      </w:r>
      <w:r>
        <w:rPr>
          <w:spacing w:val="-9"/>
        </w:rPr>
        <w:t xml:space="preserve"> </w:t>
      </w:r>
      <w:r>
        <w:t>of</w:t>
      </w:r>
      <w:r>
        <w:rPr>
          <w:spacing w:val="-7"/>
        </w:rPr>
        <w:t xml:space="preserve"> </w:t>
      </w:r>
      <w:r>
        <w:t>the</w:t>
      </w:r>
      <w:r>
        <w:rPr>
          <w:spacing w:val="-7"/>
        </w:rPr>
        <w:t xml:space="preserve"> </w:t>
      </w:r>
      <w:r>
        <w:t>L&amp;G</w:t>
      </w:r>
      <w:r>
        <w:rPr>
          <w:spacing w:val="-7"/>
        </w:rPr>
        <w:t xml:space="preserve"> </w:t>
      </w:r>
      <w:r>
        <w:t>PMC</w:t>
      </w:r>
      <w:r>
        <w:rPr>
          <w:spacing w:val="-7"/>
        </w:rPr>
        <w:t xml:space="preserve"> </w:t>
      </w:r>
      <w:r>
        <w:t>Target</w:t>
      </w:r>
      <w:r>
        <w:rPr>
          <w:spacing w:val="-8"/>
        </w:rPr>
        <w:t xml:space="preserve"> </w:t>
      </w:r>
      <w:r>
        <w:t>Date</w:t>
      </w:r>
      <w:r>
        <w:rPr>
          <w:spacing w:val="-6"/>
        </w:rPr>
        <w:t xml:space="preserve"> </w:t>
      </w:r>
      <w:r>
        <w:t>Funds</w:t>
      </w:r>
      <w:r>
        <w:rPr>
          <w:spacing w:val="-8"/>
        </w:rPr>
        <w:t xml:space="preserve"> </w:t>
      </w:r>
      <w:r>
        <w:t>took</w:t>
      </w:r>
      <w:r>
        <w:rPr>
          <w:spacing w:val="-6"/>
        </w:rPr>
        <w:t xml:space="preserve"> </w:t>
      </w:r>
      <w:r>
        <w:t>account</w:t>
      </w:r>
      <w:r>
        <w:rPr>
          <w:spacing w:val="-8"/>
        </w:rPr>
        <w:t xml:space="preserve"> </w:t>
      </w:r>
      <w:r>
        <w:t>of</w:t>
      </w:r>
      <w:r>
        <w:rPr>
          <w:spacing w:val="-7"/>
        </w:rPr>
        <w:t xml:space="preserve"> </w:t>
      </w:r>
      <w:r>
        <w:t>the</w:t>
      </w:r>
      <w:r>
        <w:rPr>
          <w:spacing w:val="-5"/>
        </w:rPr>
        <w:t xml:space="preserve"> </w:t>
      </w:r>
      <w:r>
        <w:t>costs</w:t>
      </w:r>
      <w:r>
        <w:rPr>
          <w:spacing w:val="-8"/>
        </w:rPr>
        <w:t xml:space="preserve"> </w:t>
      </w:r>
      <w:r>
        <w:t>of</w:t>
      </w:r>
      <w:r>
        <w:rPr>
          <w:spacing w:val="-5"/>
        </w:rPr>
        <w:t xml:space="preserve"> </w:t>
      </w:r>
      <w:r>
        <w:t>buying</w:t>
      </w:r>
      <w:r>
        <w:rPr>
          <w:spacing w:val="-4"/>
        </w:rPr>
        <w:t xml:space="preserve"> </w:t>
      </w:r>
      <w:r>
        <w:t>and selling assets in the Fund.</w:t>
      </w:r>
    </w:p>
    <w:p w14:paraId="533F5ABC" w14:textId="77777777" w:rsidR="00AB3475" w:rsidRDefault="00AB3475">
      <w:pPr>
        <w:pStyle w:val="BodyText"/>
        <w:spacing w:before="150"/>
      </w:pPr>
    </w:p>
    <w:p w14:paraId="533F5ABD" w14:textId="2FC4E582" w:rsidR="00AB3475" w:rsidRDefault="00F640FB">
      <w:pPr>
        <w:pStyle w:val="Heading1"/>
        <w:jc w:val="both"/>
        <w:rPr>
          <w:sz w:val="18"/>
        </w:rPr>
      </w:pPr>
      <w:r>
        <w:t>4A.2.</w:t>
      </w:r>
      <w:r>
        <w:rPr>
          <w:spacing w:val="-7"/>
        </w:rPr>
        <w:t xml:space="preserve"> </w:t>
      </w:r>
      <w:r>
        <w:rPr>
          <w:spacing w:val="-4"/>
        </w:rPr>
        <w:t>AVC</w:t>
      </w:r>
      <w:r>
        <w:rPr>
          <w:spacing w:val="-4"/>
          <w:sz w:val="18"/>
        </w:rPr>
        <w:t>S</w:t>
      </w:r>
    </w:p>
    <w:p w14:paraId="26F766BF" w14:textId="71A74C7B" w:rsidR="001F0F86" w:rsidRDefault="001F0F86">
      <w:pPr>
        <w:pStyle w:val="BodyText"/>
        <w:spacing w:before="242"/>
        <w:ind w:left="199" w:right="552"/>
        <w:jc w:val="both"/>
      </w:pPr>
      <w:r>
        <w:t xml:space="preserve">Members with AVCs have access to the fund range available to members of the DC section.  For AVCs the same transaction </w:t>
      </w:r>
      <w:r w:rsidR="00F640FB">
        <w:t xml:space="preserve">costs and </w:t>
      </w:r>
      <w:r>
        <w:t xml:space="preserve">charges apply as shown in section </w:t>
      </w:r>
      <w:r w:rsidR="00F640FB">
        <w:t>4A</w:t>
      </w:r>
      <w:r>
        <w:t>.1.</w:t>
      </w:r>
    </w:p>
    <w:p w14:paraId="533F5ADC" w14:textId="77777777" w:rsidR="00AB3475" w:rsidRDefault="00AB3475">
      <w:pPr>
        <w:pStyle w:val="BodyText"/>
        <w:spacing w:before="23"/>
        <w:rPr>
          <w:sz w:val="20"/>
        </w:rPr>
      </w:pPr>
    </w:p>
    <w:p w14:paraId="533F5AEC" w14:textId="397AFC40" w:rsidR="00AB3475" w:rsidRDefault="00BA5BA3">
      <w:pPr>
        <w:pStyle w:val="Heading2"/>
        <w:jc w:val="both"/>
      </w:pPr>
      <w:r>
        <w:t>4B.</w:t>
      </w:r>
      <w:r>
        <w:rPr>
          <w:spacing w:val="44"/>
        </w:rPr>
        <w:t xml:space="preserve">  </w:t>
      </w:r>
      <w:r>
        <w:t>Illustrations</w:t>
      </w:r>
      <w:r>
        <w:rPr>
          <w:spacing w:val="-5"/>
        </w:rPr>
        <w:t xml:space="preserve"> </w:t>
      </w:r>
      <w:r>
        <w:t>to</w:t>
      </w:r>
      <w:r>
        <w:rPr>
          <w:spacing w:val="-6"/>
        </w:rPr>
        <w:t xml:space="preserve"> </w:t>
      </w:r>
      <w:r>
        <w:t>show</w:t>
      </w:r>
      <w:r>
        <w:rPr>
          <w:spacing w:val="-1"/>
        </w:rPr>
        <w:t xml:space="preserve"> </w:t>
      </w:r>
      <w:r>
        <w:t>the</w:t>
      </w:r>
      <w:r>
        <w:rPr>
          <w:spacing w:val="-4"/>
        </w:rPr>
        <w:t xml:space="preserve"> </w:t>
      </w:r>
      <w:r>
        <w:t>cumulative</w:t>
      </w:r>
      <w:r>
        <w:rPr>
          <w:spacing w:val="-3"/>
        </w:rPr>
        <w:t xml:space="preserve"> </w:t>
      </w:r>
      <w:r>
        <w:t>effect</w:t>
      </w:r>
      <w:r>
        <w:rPr>
          <w:spacing w:val="-2"/>
        </w:rPr>
        <w:t xml:space="preserve"> </w:t>
      </w:r>
      <w:r>
        <w:t>of</w:t>
      </w:r>
      <w:r>
        <w:rPr>
          <w:spacing w:val="-3"/>
        </w:rPr>
        <w:t xml:space="preserve"> </w:t>
      </w:r>
      <w:r>
        <w:t>costs</w:t>
      </w:r>
      <w:r>
        <w:rPr>
          <w:spacing w:val="-3"/>
        </w:rPr>
        <w:t xml:space="preserve"> </w:t>
      </w:r>
      <w:r>
        <w:t>and</w:t>
      </w:r>
      <w:r>
        <w:rPr>
          <w:spacing w:val="-6"/>
        </w:rPr>
        <w:t xml:space="preserve"> </w:t>
      </w:r>
      <w:r>
        <w:rPr>
          <w:spacing w:val="-2"/>
        </w:rPr>
        <w:t>charges</w:t>
      </w:r>
    </w:p>
    <w:p w14:paraId="533F5AED" w14:textId="77777777" w:rsidR="00AB3475" w:rsidRDefault="00AB3475">
      <w:pPr>
        <w:pStyle w:val="BodyText"/>
        <w:spacing w:before="108"/>
        <w:rPr>
          <w:b/>
        </w:rPr>
      </w:pPr>
    </w:p>
    <w:p w14:paraId="533F5AEE" w14:textId="5DF92FB3" w:rsidR="00AB3475" w:rsidRDefault="00A853B3">
      <w:pPr>
        <w:pStyle w:val="BodyText"/>
        <w:spacing w:before="1"/>
        <w:ind w:left="199" w:right="554"/>
        <w:jc w:val="both"/>
      </w:pPr>
      <w:r>
        <w:t xml:space="preserve">In order to help members understand the impact that costs and charges can have on their retirement savings, the Trustee has provided illustrations to show their cumulative effect on the value of typical </w:t>
      </w:r>
      <w:r w:rsidR="007C7EB1">
        <w:t xml:space="preserve">Fund </w:t>
      </w:r>
      <w:r>
        <w:t>members’ savings over the period to their retirement.</w:t>
      </w:r>
    </w:p>
    <w:p w14:paraId="533F5AEF" w14:textId="77777777" w:rsidR="00AB3475" w:rsidRDefault="00A853B3">
      <w:pPr>
        <w:pStyle w:val="BodyText"/>
        <w:spacing w:before="251"/>
        <w:ind w:left="199" w:right="558"/>
        <w:jc w:val="both"/>
      </w:pPr>
      <w:r>
        <w:t>The illustrations have been prepared having regard to statutory guidance, selecting suitable representative example members, and are based on a number of assumptions about the future which are set out at the end of this section.</w:t>
      </w:r>
    </w:p>
    <w:p w14:paraId="533F5AF0" w14:textId="77777777" w:rsidR="00AB3475" w:rsidRDefault="00AB3475">
      <w:pPr>
        <w:pStyle w:val="BodyText"/>
        <w:spacing w:before="1"/>
      </w:pPr>
    </w:p>
    <w:p w14:paraId="533F5AF1" w14:textId="73E2A93C" w:rsidR="00AB3475" w:rsidRDefault="00A853B3">
      <w:pPr>
        <w:pStyle w:val="BodyText"/>
        <w:ind w:left="199" w:right="551"/>
        <w:jc w:val="both"/>
      </w:pPr>
      <w:r>
        <w:t>Members should be aware that such assumptions may or may not hold true, so the illustrations do</w:t>
      </w:r>
      <w:r>
        <w:rPr>
          <w:spacing w:val="-16"/>
        </w:rPr>
        <w:t xml:space="preserve"> </w:t>
      </w:r>
      <w:r>
        <w:t>not</w:t>
      </w:r>
      <w:r>
        <w:rPr>
          <w:spacing w:val="-15"/>
        </w:rPr>
        <w:t xml:space="preserve"> </w:t>
      </w:r>
      <w:r>
        <w:t>promise</w:t>
      </w:r>
      <w:r>
        <w:rPr>
          <w:spacing w:val="-15"/>
        </w:rPr>
        <w:t xml:space="preserve"> </w:t>
      </w:r>
      <w:r>
        <w:t>what</w:t>
      </w:r>
      <w:r>
        <w:rPr>
          <w:spacing w:val="-16"/>
        </w:rPr>
        <w:t xml:space="preserve"> </w:t>
      </w:r>
      <w:r>
        <w:t>could</w:t>
      </w:r>
      <w:r>
        <w:rPr>
          <w:spacing w:val="-15"/>
        </w:rPr>
        <w:t xml:space="preserve"> </w:t>
      </w:r>
      <w:r>
        <w:t>happen</w:t>
      </w:r>
      <w:r>
        <w:rPr>
          <w:spacing w:val="-15"/>
        </w:rPr>
        <w:t xml:space="preserve"> </w:t>
      </w:r>
      <w:r>
        <w:t>in</w:t>
      </w:r>
      <w:r>
        <w:rPr>
          <w:spacing w:val="-15"/>
        </w:rPr>
        <w:t xml:space="preserve"> </w:t>
      </w:r>
      <w:r>
        <w:t>the</w:t>
      </w:r>
      <w:r>
        <w:rPr>
          <w:spacing w:val="-16"/>
        </w:rPr>
        <w:t xml:space="preserve"> </w:t>
      </w:r>
      <w:r>
        <w:t>future</w:t>
      </w:r>
      <w:r>
        <w:rPr>
          <w:spacing w:val="-15"/>
        </w:rPr>
        <w:t xml:space="preserve"> </w:t>
      </w:r>
      <w:r>
        <w:t>and</w:t>
      </w:r>
      <w:r>
        <w:rPr>
          <w:spacing w:val="-15"/>
        </w:rPr>
        <w:t xml:space="preserve"> </w:t>
      </w:r>
      <w:r>
        <w:t>fund</w:t>
      </w:r>
      <w:r>
        <w:rPr>
          <w:spacing w:val="-16"/>
        </w:rPr>
        <w:t xml:space="preserve"> </w:t>
      </w:r>
      <w:r>
        <w:t>values</w:t>
      </w:r>
      <w:r>
        <w:rPr>
          <w:spacing w:val="-15"/>
        </w:rPr>
        <w:t xml:space="preserve"> </w:t>
      </w:r>
      <w:r>
        <w:t>are</w:t>
      </w:r>
      <w:r>
        <w:rPr>
          <w:spacing w:val="-15"/>
        </w:rPr>
        <w:t xml:space="preserve"> </w:t>
      </w:r>
      <w:r>
        <w:t>not</w:t>
      </w:r>
      <w:r>
        <w:rPr>
          <w:spacing w:val="-15"/>
        </w:rPr>
        <w:t xml:space="preserve"> </w:t>
      </w:r>
      <w:r>
        <w:t>guaranteed.</w:t>
      </w:r>
      <w:r>
        <w:rPr>
          <w:spacing w:val="8"/>
        </w:rPr>
        <w:t xml:space="preserve"> </w:t>
      </w:r>
      <w:r>
        <w:t xml:space="preserve">Furthermore, because the illustrations are based on typical members of </w:t>
      </w:r>
      <w:r w:rsidR="003B29DD">
        <w:t>the Fund</w:t>
      </w:r>
      <w:r>
        <w:t xml:space="preserve"> they are not a substitute for the individual and </w:t>
      </w:r>
      <w:proofErr w:type="spellStart"/>
      <w:r>
        <w:t>personalised</w:t>
      </w:r>
      <w:proofErr w:type="spellEnd"/>
      <w:r>
        <w:t xml:space="preserve"> illustrations which are provided to members in their annual Benefit Statements.</w:t>
      </w:r>
      <w:r>
        <w:rPr>
          <w:spacing w:val="40"/>
        </w:rPr>
        <w:t xml:space="preserve"> </w:t>
      </w:r>
      <w:r w:rsidR="003B29DD">
        <w:t>The Fund</w:t>
      </w:r>
      <w:r>
        <w:t xml:space="preserve"> does not offer members access to flexi-access drawdown therefore this option has not been taken into account in these illustrations.</w:t>
      </w:r>
    </w:p>
    <w:p w14:paraId="533F5AF2" w14:textId="77777777" w:rsidR="00AB3475" w:rsidRDefault="00AB3475">
      <w:pPr>
        <w:pStyle w:val="BodyText"/>
        <w:spacing w:before="238"/>
      </w:pPr>
    </w:p>
    <w:p w14:paraId="533F5AF3" w14:textId="4993F89F" w:rsidR="00AB3475" w:rsidRDefault="00BA5BA3">
      <w:pPr>
        <w:pStyle w:val="Heading2"/>
        <w:spacing w:before="1"/>
        <w:jc w:val="both"/>
      </w:pPr>
      <w:r>
        <w:rPr>
          <w:spacing w:val="-2"/>
        </w:rPr>
        <w:t>4B.1.</w:t>
      </w:r>
      <w:r>
        <w:rPr>
          <w:spacing w:val="-6"/>
        </w:rPr>
        <w:t xml:space="preserve"> </w:t>
      </w:r>
      <w:r w:rsidR="00E27B3F">
        <w:rPr>
          <w:spacing w:val="-2"/>
        </w:rPr>
        <w:t>Defined Contribution</w:t>
      </w:r>
      <w:r>
        <w:rPr>
          <w:spacing w:val="-6"/>
        </w:rPr>
        <w:t xml:space="preserve"> </w:t>
      </w:r>
      <w:r>
        <w:rPr>
          <w:spacing w:val="-2"/>
        </w:rPr>
        <w:t>section</w:t>
      </w:r>
    </w:p>
    <w:p w14:paraId="533F5B1B" w14:textId="338FB7F8" w:rsidR="00AB3475" w:rsidRDefault="00A853B3" w:rsidP="00B31041">
      <w:pPr>
        <w:pStyle w:val="BodyText"/>
        <w:spacing w:before="239"/>
        <w:ind w:left="199" w:right="556"/>
        <w:jc w:val="both"/>
      </w:pPr>
      <w:r>
        <w:t xml:space="preserve">For the </w:t>
      </w:r>
      <w:r w:rsidR="00E27B3F">
        <w:t>Defined Contribution</w:t>
      </w:r>
      <w:r>
        <w:t xml:space="preserve"> section, the Trustee has decided to</w:t>
      </w:r>
      <w:r w:rsidR="007A3D6B">
        <w:t xml:space="preserve"> illustrate</w:t>
      </w:r>
      <w:r>
        <w:t xml:space="preserve"> </w:t>
      </w:r>
      <w:r w:rsidR="00B31041">
        <w:t xml:space="preserve">an </w:t>
      </w:r>
      <w:r>
        <w:t xml:space="preserve">example </w:t>
      </w:r>
      <w:r w:rsidR="00B31041">
        <w:t xml:space="preserve">member.  </w:t>
      </w:r>
    </w:p>
    <w:p w14:paraId="4BBEA687" w14:textId="77777777" w:rsidR="00842192" w:rsidRDefault="00842192" w:rsidP="00842192">
      <w:pPr>
        <w:pStyle w:val="Default"/>
        <w:ind w:left="199"/>
        <w:rPr>
          <w:rFonts w:ascii="Arial" w:hAnsi="Arial" w:cs="Arial"/>
          <w:sz w:val="22"/>
          <w:szCs w:val="22"/>
        </w:rPr>
      </w:pPr>
    </w:p>
    <w:p w14:paraId="3343D96B" w14:textId="4F3B620D" w:rsidR="00842192" w:rsidRPr="00842192" w:rsidRDefault="00842192" w:rsidP="009B2A0E">
      <w:pPr>
        <w:pStyle w:val="Default"/>
        <w:ind w:left="199" w:right="526"/>
        <w:jc w:val="both"/>
        <w:rPr>
          <w:rFonts w:ascii="Arial" w:hAnsi="Arial" w:cs="Arial"/>
          <w:sz w:val="22"/>
          <w:szCs w:val="22"/>
        </w:rPr>
      </w:pPr>
      <w:r w:rsidRPr="70CA713C">
        <w:rPr>
          <w:rFonts w:ascii="Arial" w:hAnsi="Arial" w:cs="Arial"/>
          <w:sz w:val="22"/>
          <w:szCs w:val="22"/>
        </w:rPr>
        <w:t xml:space="preserve">Current age is 22 and retirement age is 65. This is based on the age of the youngest person in the scheme. </w:t>
      </w:r>
    </w:p>
    <w:p w14:paraId="4CF8A786" w14:textId="4D7E1034" w:rsidR="00842192" w:rsidRPr="00842192" w:rsidRDefault="00617C77" w:rsidP="009B2A0E">
      <w:pPr>
        <w:pStyle w:val="Default"/>
        <w:ind w:left="199" w:right="526"/>
        <w:jc w:val="both"/>
        <w:rPr>
          <w:rFonts w:ascii="Arial" w:hAnsi="Arial" w:cs="Arial"/>
          <w:sz w:val="22"/>
          <w:szCs w:val="22"/>
        </w:rPr>
      </w:pPr>
      <w:r>
        <w:rPr>
          <w:rFonts w:ascii="Arial" w:hAnsi="Arial" w:cs="Arial"/>
          <w:sz w:val="22"/>
          <w:szCs w:val="22"/>
        </w:rPr>
        <w:t>Their</w:t>
      </w:r>
      <w:r w:rsidR="00842192" w:rsidRPr="00842192">
        <w:rPr>
          <w:rFonts w:ascii="Arial" w:hAnsi="Arial" w:cs="Arial"/>
          <w:sz w:val="22"/>
          <w:szCs w:val="22"/>
        </w:rPr>
        <w:t xml:space="preserve"> current salary is £42,000 and will increase each year by </w:t>
      </w:r>
      <w:r w:rsidR="00842192">
        <w:rPr>
          <w:rFonts w:ascii="Arial" w:hAnsi="Arial" w:cs="Arial"/>
          <w:sz w:val="22"/>
          <w:szCs w:val="22"/>
        </w:rPr>
        <w:t>2</w:t>
      </w:r>
      <w:r w:rsidR="00842192" w:rsidRPr="00842192">
        <w:rPr>
          <w:rFonts w:ascii="Arial" w:hAnsi="Arial" w:cs="Arial"/>
          <w:sz w:val="22"/>
          <w:szCs w:val="22"/>
        </w:rPr>
        <w:t xml:space="preserve">.5%. </w:t>
      </w:r>
    </w:p>
    <w:p w14:paraId="7A3FAEB8" w14:textId="03FF1A6D" w:rsidR="00842192" w:rsidRPr="00842192" w:rsidRDefault="00842192" w:rsidP="009B2A0E">
      <w:pPr>
        <w:pStyle w:val="Default"/>
        <w:ind w:left="199" w:right="526"/>
        <w:jc w:val="both"/>
        <w:rPr>
          <w:rFonts w:ascii="Arial" w:hAnsi="Arial" w:cs="Arial"/>
          <w:sz w:val="22"/>
          <w:szCs w:val="22"/>
        </w:rPr>
      </w:pPr>
      <w:r w:rsidRPr="00842192">
        <w:rPr>
          <w:rFonts w:ascii="Arial" w:hAnsi="Arial" w:cs="Arial"/>
          <w:sz w:val="22"/>
          <w:szCs w:val="22"/>
        </w:rPr>
        <w:t xml:space="preserve">Future contributions paid will be 12% of your salary (£420 each month increasing by </w:t>
      </w:r>
      <w:r>
        <w:rPr>
          <w:rFonts w:ascii="Arial" w:hAnsi="Arial" w:cs="Arial"/>
          <w:sz w:val="22"/>
          <w:szCs w:val="22"/>
        </w:rPr>
        <w:t>2</w:t>
      </w:r>
      <w:r w:rsidRPr="00842192">
        <w:rPr>
          <w:rFonts w:ascii="Arial" w:hAnsi="Arial" w:cs="Arial"/>
          <w:sz w:val="22"/>
          <w:szCs w:val="22"/>
        </w:rPr>
        <w:t xml:space="preserve">.5% each year in line with assumed salary increases). </w:t>
      </w:r>
    </w:p>
    <w:p w14:paraId="781ED063" w14:textId="78406D3C" w:rsidR="00842192" w:rsidRDefault="00842192" w:rsidP="009B2A0E">
      <w:pPr>
        <w:pStyle w:val="Default"/>
        <w:ind w:left="199" w:right="526"/>
        <w:jc w:val="both"/>
        <w:rPr>
          <w:rFonts w:ascii="Arial" w:hAnsi="Arial" w:cs="Arial"/>
          <w:sz w:val="22"/>
          <w:szCs w:val="22"/>
        </w:rPr>
      </w:pPr>
      <w:r w:rsidRPr="00842192">
        <w:rPr>
          <w:rFonts w:ascii="Arial" w:hAnsi="Arial" w:cs="Arial"/>
          <w:sz w:val="22"/>
          <w:szCs w:val="22"/>
        </w:rPr>
        <w:t>The existing fund value is £</w:t>
      </w:r>
      <w:r>
        <w:rPr>
          <w:rFonts w:ascii="Arial" w:hAnsi="Arial" w:cs="Arial"/>
          <w:sz w:val="22"/>
          <w:szCs w:val="22"/>
        </w:rPr>
        <w:t>25,044</w:t>
      </w:r>
      <w:r w:rsidRPr="00842192">
        <w:rPr>
          <w:rFonts w:ascii="Arial" w:hAnsi="Arial" w:cs="Arial"/>
          <w:sz w:val="22"/>
          <w:szCs w:val="22"/>
        </w:rPr>
        <w:t xml:space="preserve"> which based on the median value of the total holdings within the scheme. </w:t>
      </w:r>
    </w:p>
    <w:p w14:paraId="376F3ED5" w14:textId="77777777" w:rsidR="00842192" w:rsidRPr="00842192" w:rsidRDefault="00842192" w:rsidP="009B2A0E">
      <w:pPr>
        <w:pStyle w:val="Default"/>
        <w:ind w:left="199"/>
        <w:jc w:val="both"/>
        <w:rPr>
          <w:rFonts w:ascii="Arial" w:hAnsi="Arial" w:cs="Arial"/>
          <w:sz w:val="22"/>
          <w:szCs w:val="22"/>
        </w:rPr>
      </w:pPr>
    </w:p>
    <w:p w14:paraId="62B91C99" w14:textId="45E6EAE5" w:rsidR="007E375A" w:rsidRPr="007E375A" w:rsidRDefault="00617C77" w:rsidP="009B2A0E">
      <w:pPr>
        <w:widowControl/>
        <w:autoSpaceDE/>
        <w:autoSpaceDN/>
        <w:ind w:left="199" w:right="526"/>
        <w:jc w:val="both"/>
        <w:rPr>
          <w:rFonts w:ascii="Calibri" w:eastAsia="Times New Roman" w:hAnsi="Calibri" w:cs="Calibri"/>
        </w:rPr>
      </w:pPr>
      <w:r>
        <w:t>The Trustee has</w:t>
      </w:r>
      <w:r w:rsidR="00842192" w:rsidRPr="00842192">
        <w:t xml:space="preserve"> shown the </w:t>
      </w:r>
      <w:r w:rsidR="007E375A" w:rsidRPr="007E375A">
        <w:rPr>
          <w:rFonts w:eastAsia="Times New Roman"/>
        </w:rPr>
        <w:t>Target Date Fund 2065-70 (as default investment for youngest member)</w:t>
      </w:r>
      <w:r w:rsidR="00194703">
        <w:rPr>
          <w:rFonts w:eastAsia="Times New Roman"/>
        </w:rPr>
        <w:t xml:space="preserve">. </w:t>
      </w:r>
    </w:p>
    <w:p w14:paraId="31F1E414" w14:textId="77BB6B9F" w:rsidR="00842192" w:rsidRDefault="00617C77" w:rsidP="00B02936">
      <w:pPr>
        <w:pStyle w:val="BodyText"/>
        <w:spacing w:before="239"/>
        <w:ind w:left="199" w:right="556"/>
        <w:jc w:val="both"/>
      </w:pPr>
      <w:r>
        <w:t xml:space="preserve">The Trustee has also included illustrations </w:t>
      </w:r>
      <w:r w:rsidR="005F1883">
        <w:t xml:space="preserve">showing </w:t>
      </w:r>
      <w:r w:rsidR="00842192" w:rsidRPr="00842192">
        <w:t>the</w:t>
      </w:r>
      <w:r w:rsidR="00194703">
        <w:t xml:space="preserve"> </w:t>
      </w:r>
      <w:r w:rsidR="00194703">
        <w:rPr>
          <w:rFonts w:eastAsia="Times New Roman"/>
        </w:rPr>
        <w:t xml:space="preserve">L&amp;G Cash Fund </w:t>
      </w:r>
      <w:r w:rsidR="00842192">
        <w:rPr>
          <w:sz w:val="23"/>
          <w:szCs w:val="23"/>
        </w:rPr>
        <w:t xml:space="preserve">and </w:t>
      </w:r>
      <w:r w:rsidR="00194703">
        <w:rPr>
          <w:rFonts w:eastAsia="Times New Roman"/>
        </w:rPr>
        <w:t xml:space="preserve">L&amp;G MT Positive Change Fund </w:t>
      </w:r>
      <w:r w:rsidR="00842192">
        <w:rPr>
          <w:sz w:val="23"/>
          <w:szCs w:val="23"/>
        </w:rPr>
        <w:t xml:space="preserve">to show the asset classes with the lowest and highest assumed growth, and the </w:t>
      </w:r>
      <w:r w:rsidR="006A19DB">
        <w:rPr>
          <w:rFonts w:eastAsia="Times New Roman"/>
        </w:rPr>
        <w:t xml:space="preserve">L&amp;G PMC Over 15 Year Index Linked Gilts Index 3 </w:t>
      </w:r>
      <w:r w:rsidR="00842192">
        <w:rPr>
          <w:sz w:val="23"/>
          <w:szCs w:val="23"/>
        </w:rPr>
        <w:t xml:space="preserve">and </w:t>
      </w:r>
      <w:r>
        <w:rPr>
          <w:rFonts w:eastAsia="Times New Roman"/>
        </w:rPr>
        <w:t>L&amp;G PMC Sustainable Property Fund 3</w:t>
      </w:r>
      <w:r w:rsidR="00842192">
        <w:rPr>
          <w:sz w:val="23"/>
          <w:szCs w:val="23"/>
        </w:rPr>
        <w:t xml:space="preserve"> as the funds with the lowest and highest charges</w:t>
      </w:r>
      <w:r w:rsidR="005F1883">
        <w:rPr>
          <w:sz w:val="23"/>
          <w:szCs w:val="23"/>
        </w:rPr>
        <w:t xml:space="preserve"> over the reporting period</w:t>
      </w:r>
      <w:r w:rsidR="00842192">
        <w:rPr>
          <w:sz w:val="23"/>
          <w:szCs w:val="23"/>
        </w:rPr>
        <w:t>.</w:t>
      </w:r>
    </w:p>
    <w:p w14:paraId="533F5B20" w14:textId="77777777" w:rsidR="00AB3475" w:rsidRDefault="00AB3475">
      <w:pPr>
        <w:pStyle w:val="BodyText"/>
        <w:spacing w:before="173"/>
      </w:pPr>
    </w:p>
    <w:p w14:paraId="533F5B21" w14:textId="69261603" w:rsidR="00AB3475" w:rsidRDefault="00A853B3">
      <w:pPr>
        <w:pStyle w:val="BodyText"/>
        <w:ind w:left="199" w:right="552"/>
        <w:jc w:val="both"/>
      </w:pPr>
      <w:r>
        <w:t xml:space="preserve">The tables below illustrate the cumulative effect of the costs and charges </w:t>
      </w:r>
      <w:r w:rsidR="00AA39C1">
        <w:t>after different time periods</w:t>
      </w:r>
      <w:r>
        <w:t xml:space="preserve"> on members’</w:t>
      </w:r>
      <w:r>
        <w:rPr>
          <w:spacing w:val="-10"/>
        </w:rPr>
        <w:t xml:space="preserve"> </w:t>
      </w:r>
      <w:r>
        <w:t>projected</w:t>
      </w:r>
      <w:r>
        <w:rPr>
          <w:spacing w:val="-12"/>
        </w:rPr>
        <w:t xml:space="preserve"> </w:t>
      </w:r>
      <w:r>
        <w:t>retirement</w:t>
      </w:r>
      <w:r>
        <w:rPr>
          <w:spacing w:val="-10"/>
        </w:rPr>
        <w:t xml:space="preserve"> </w:t>
      </w:r>
      <w:r>
        <w:t>pots</w:t>
      </w:r>
      <w:r>
        <w:rPr>
          <w:spacing w:val="-11"/>
        </w:rPr>
        <w:t xml:space="preserve"> </w:t>
      </w:r>
      <w:r>
        <w:t>for</w:t>
      </w:r>
      <w:r>
        <w:rPr>
          <w:spacing w:val="-13"/>
        </w:rPr>
        <w:t xml:space="preserve"> </w:t>
      </w:r>
      <w:r>
        <w:t>the</w:t>
      </w:r>
      <w:r>
        <w:rPr>
          <w:spacing w:val="-9"/>
        </w:rPr>
        <w:t xml:space="preserve"> </w:t>
      </w:r>
      <w:r>
        <w:t>example</w:t>
      </w:r>
      <w:r>
        <w:rPr>
          <w:spacing w:val="-9"/>
        </w:rPr>
        <w:t xml:space="preserve"> </w:t>
      </w:r>
      <w:r>
        <w:t>member</w:t>
      </w:r>
      <w:r>
        <w:rPr>
          <w:spacing w:val="-11"/>
        </w:rPr>
        <w:t xml:space="preserve"> </w:t>
      </w:r>
      <w:r>
        <w:t>invested</w:t>
      </w:r>
      <w:r>
        <w:rPr>
          <w:spacing w:val="-8"/>
        </w:rPr>
        <w:t xml:space="preserve"> </w:t>
      </w:r>
      <w:r>
        <w:t>in</w:t>
      </w:r>
      <w:r>
        <w:rPr>
          <w:spacing w:val="-14"/>
        </w:rPr>
        <w:t xml:space="preserve"> </w:t>
      </w:r>
      <w:r>
        <w:t>the</w:t>
      </w:r>
      <w:r>
        <w:rPr>
          <w:spacing w:val="-12"/>
        </w:rPr>
        <w:t xml:space="preserve"> </w:t>
      </w:r>
      <w:r>
        <w:t>relevant</w:t>
      </w:r>
      <w:r>
        <w:rPr>
          <w:spacing w:val="-5"/>
        </w:rPr>
        <w:t xml:space="preserve"> </w:t>
      </w:r>
      <w:r>
        <w:t>funds.</w:t>
      </w:r>
      <w:r>
        <w:rPr>
          <w:spacing w:val="-12"/>
        </w:rPr>
        <w:t xml:space="preserve"> </w:t>
      </w:r>
      <w:r>
        <w:t>The projected retirement fund is shown in today’s terms and so it already</w:t>
      </w:r>
      <w:r>
        <w:rPr>
          <w:spacing w:val="-1"/>
        </w:rPr>
        <w:t xml:space="preserve"> </w:t>
      </w:r>
      <w:r>
        <w:t>takes account of the effect of inflation between now and retirement.</w:t>
      </w:r>
    </w:p>
    <w:p w14:paraId="533F5B22" w14:textId="77777777" w:rsidR="00AB3475" w:rsidRDefault="00AB3475">
      <w:pPr>
        <w:pStyle w:val="BodyText"/>
        <w:spacing w:before="38"/>
      </w:pPr>
    </w:p>
    <w:p w14:paraId="533F5B23" w14:textId="42FFBC62" w:rsidR="00AB3475" w:rsidRDefault="00A853B3">
      <w:pPr>
        <w:pStyle w:val="BodyText"/>
        <w:spacing w:line="278" w:lineRule="auto"/>
        <w:ind w:left="199"/>
      </w:pPr>
      <w:r>
        <w:t>Example</w:t>
      </w:r>
      <w:r>
        <w:rPr>
          <w:spacing w:val="-3"/>
        </w:rPr>
        <w:t xml:space="preserve"> </w:t>
      </w:r>
      <w:r>
        <w:t>member</w:t>
      </w:r>
      <w:r>
        <w:rPr>
          <w:spacing w:val="-2"/>
        </w:rPr>
        <w:t xml:space="preserve"> </w:t>
      </w:r>
      <w:r>
        <w:t>–</w:t>
      </w:r>
      <w:r>
        <w:rPr>
          <w:spacing w:val="-3"/>
        </w:rPr>
        <w:t xml:space="preserve"> </w:t>
      </w:r>
      <w:r>
        <w:t>For</w:t>
      </w:r>
      <w:r>
        <w:rPr>
          <w:spacing w:val="-4"/>
        </w:rPr>
        <w:t xml:space="preserve"> </w:t>
      </w:r>
      <w:r>
        <w:t>the</w:t>
      </w:r>
      <w:r>
        <w:rPr>
          <w:spacing w:val="-3"/>
        </w:rPr>
        <w:t xml:space="preserve"> </w:t>
      </w:r>
      <w:r>
        <w:t>youngest</w:t>
      </w:r>
      <w:r>
        <w:rPr>
          <w:spacing w:val="-4"/>
        </w:rPr>
        <w:t xml:space="preserve"> </w:t>
      </w:r>
      <w:r>
        <w:t>active</w:t>
      </w:r>
      <w:r>
        <w:rPr>
          <w:spacing w:val="-3"/>
        </w:rPr>
        <w:t xml:space="preserve"> </w:t>
      </w:r>
      <w:r>
        <w:t>member</w:t>
      </w:r>
      <w:r>
        <w:rPr>
          <w:spacing w:val="-4"/>
        </w:rPr>
        <w:t xml:space="preserve"> </w:t>
      </w:r>
      <w:r>
        <w:t>the</w:t>
      </w:r>
      <w:r>
        <w:rPr>
          <w:spacing w:val="-5"/>
        </w:rPr>
        <w:t xml:space="preserve"> </w:t>
      </w:r>
      <w:r>
        <w:t>estimated</w:t>
      </w:r>
      <w:r>
        <w:rPr>
          <w:spacing w:val="-5"/>
        </w:rPr>
        <w:t xml:space="preserve"> </w:t>
      </w:r>
      <w:r>
        <w:t>impact</w:t>
      </w:r>
      <w:r>
        <w:rPr>
          <w:spacing w:val="-1"/>
        </w:rPr>
        <w:t xml:space="preserve"> </w:t>
      </w:r>
      <w:r>
        <w:t>of</w:t>
      </w:r>
      <w:r>
        <w:rPr>
          <w:spacing w:val="-1"/>
        </w:rPr>
        <w:t xml:space="preserve"> </w:t>
      </w:r>
      <w:r>
        <w:t>charges</w:t>
      </w:r>
      <w:r>
        <w:rPr>
          <w:spacing w:val="-5"/>
        </w:rPr>
        <w:t xml:space="preserve"> </w:t>
      </w:r>
      <w:r>
        <w:t>on accumulated fund values is shown in the table</w:t>
      </w:r>
      <w:r w:rsidR="00BD0987">
        <w:t>s</w:t>
      </w:r>
      <w:r>
        <w:t xml:space="preserve"> below.</w:t>
      </w:r>
    </w:p>
    <w:p w14:paraId="533F5B24" w14:textId="77777777" w:rsidR="00AB3475" w:rsidRDefault="00AB3475">
      <w:pPr>
        <w:pStyle w:val="BodyText"/>
        <w:rPr>
          <w:sz w:val="17"/>
        </w:rPr>
      </w:pPr>
    </w:p>
    <w:tbl>
      <w:tblPr>
        <w:tblW w:w="9796"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977"/>
        <w:gridCol w:w="980"/>
        <w:gridCol w:w="982"/>
        <w:gridCol w:w="978"/>
        <w:gridCol w:w="980"/>
        <w:gridCol w:w="982"/>
        <w:gridCol w:w="980"/>
        <w:gridCol w:w="979"/>
        <w:gridCol w:w="979"/>
      </w:tblGrid>
      <w:tr w:rsidR="00AB3475" w14:paraId="533F5B2A" w14:textId="77777777" w:rsidTr="00A25E1C">
        <w:trPr>
          <w:trHeight w:val="599"/>
        </w:trPr>
        <w:tc>
          <w:tcPr>
            <w:tcW w:w="979" w:type="dxa"/>
            <w:vMerge w:val="restart"/>
            <w:shd w:val="clear" w:color="auto" w:fill="CE8D95"/>
          </w:tcPr>
          <w:p w14:paraId="69081B60" w14:textId="3B93C5BD" w:rsidR="00BB3DF5" w:rsidRDefault="00BB3DF5">
            <w:pPr>
              <w:pStyle w:val="TableParagraph"/>
              <w:rPr>
                <w:b/>
                <w:spacing w:val="-5"/>
                <w:sz w:val="18"/>
              </w:rPr>
            </w:pPr>
            <w:bookmarkStart w:id="1" w:name="_Hlk191392877"/>
            <w:r>
              <w:rPr>
                <w:b/>
                <w:spacing w:val="-5"/>
                <w:sz w:val="18"/>
              </w:rPr>
              <w:t>Table 5</w:t>
            </w:r>
          </w:p>
          <w:p w14:paraId="533F5B25" w14:textId="267B736E" w:rsidR="00AB3475" w:rsidRDefault="00A853B3">
            <w:pPr>
              <w:pStyle w:val="TableParagraph"/>
              <w:rPr>
                <w:b/>
                <w:sz w:val="18"/>
              </w:rPr>
            </w:pPr>
            <w:r>
              <w:rPr>
                <w:b/>
                <w:spacing w:val="-5"/>
                <w:sz w:val="18"/>
              </w:rPr>
              <w:t>Age</w:t>
            </w:r>
          </w:p>
        </w:tc>
        <w:tc>
          <w:tcPr>
            <w:tcW w:w="2939" w:type="dxa"/>
            <w:gridSpan w:val="3"/>
            <w:shd w:val="clear" w:color="auto" w:fill="CE8D95"/>
          </w:tcPr>
          <w:p w14:paraId="533F5B26" w14:textId="43EB44CC" w:rsidR="00AB3475" w:rsidRDefault="00A853B3">
            <w:pPr>
              <w:pStyle w:val="TableParagraph"/>
              <w:ind w:left="11"/>
              <w:jc w:val="center"/>
              <w:rPr>
                <w:b/>
                <w:sz w:val="18"/>
              </w:rPr>
            </w:pPr>
            <w:bookmarkStart w:id="2" w:name="_Hlk191328081"/>
            <w:r>
              <w:rPr>
                <w:b/>
                <w:sz w:val="18"/>
              </w:rPr>
              <w:t>L&amp;G</w:t>
            </w:r>
            <w:r>
              <w:rPr>
                <w:b/>
                <w:spacing w:val="-13"/>
                <w:sz w:val="18"/>
              </w:rPr>
              <w:t xml:space="preserve"> </w:t>
            </w:r>
            <w:r>
              <w:rPr>
                <w:b/>
                <w:sz w:val="18"/>
              </w:rPr>
              <w:t>PMC</w:t>
            </w:r>
            <w:r>
              <w:rPr>
                <w:b/>
                <w:spacing w:val="-11"/>
                <w:sz w:val="18"/>
              </w:rPr>
              <w:t xml:space="preserve"> </w:t>
            </w:r>
            <w:r w:rsidR="00BD50B8">
              <w:rPr>
                <w:b/>
                <w:sz w:val="18"/>
              </w:rPr>
              <w:t xml:space="preserve">2065 - </w:t>
            </w:r>
            <w:r w:rsidR="00C440EC">
              <w:rPr>
                <w:b/>
                <w:sz w:val="18"/>
              </w:rPr>
              <w:t>20</w:t>
            </w:r>
            <w:r w:rsidR="00BD50B8">
              <w:rPr>
                <w:b/>
                <w:sz w:val="18"/>
              </w:rPr>
              <w:t>70</w:t>
            </w:r>
            <w:r>
              <w:rPr>
                <w:b/>
                <w:spacing w:val="-11"/>
                <w:sz w:val="18"/>
              </w:rPr>
              <w:t xml:space="preserve"> </w:t>
            </w:r>
            <w:r>
              <w:rPr>
                <w:b/>
                <w:spacing w:val="-2"/>
                <w:sz w:val="18"/>
              </w:rPr>
              <w:t>Target</w:t>
            </w:r>
          </w:p>
          <w:p w14:paraId="533F5B27" w14:textId="77777777" w:rsidR="00AB3475" w:rsidRDefault="00A853B3">
            <w:pPr>
              <w:pStyle w:val="TableParagraph"/>
              <w:spacing w:before="33"/>
              <w:ind w:left="11" w:right="1"/>
              <w:jc w:val="center"/>
              <w:rPr>
                <w:b/>
                <w:sz w:val="18"/>
              </w:rPr>
            </w:pPr>
            <w:r>
              <w:rPr>
                <w:b/>
                <w:sz w:val="18"/>
              </w:rPr>
              <w:t>Date</w:t>
            </w:r>
            <w:r>
              <w:rPr>
                <w:b/>
                <w:spacing w:val="-12"/>
                <w:sz w:val="18"/>
              </w:rPr>
              <w:t xml:space="preserve"> </w:t>
            </w:r>
            <w:r>
              <w:rPr>
                <w:b/>
                <w:sz w:val="18"/>
              </w:rPr>
              <w:t>Fund</w:t>
            </w:r>
            <w:r>
              <w:rPr>
                <w:b/>
                <w:spacing w:val="-12"/>
                <w:sz w:val="18"/>
              </w:rPr>
              <w:t xml:space="preserve"> </w:t>
            </w:r>
            <w:r>
              <w:rPr>
                <w:b/>
                <w:spacing w:val="-10"/>
                <w:sz w:val="18"/>
              </w:rPr>
              <w:t>3</w:t>
            </w:r>
            <w:bookmarkEnd w:id="2"/>
          </w:p>
        </w:tc>
        <w:tc>
          <w:tcPr>
            <w:tcW w:w="2940" w:type="dxa"/>
            <w:gridSpan w:val="3"/>
            <w:shd w:val="clear" w:color="auto" w:fill="CE8D95"/>
          </w:tcPr>
          <w:p w14:paraId="533F5B28" w14:textId="0E5F13DC" w:rsidR="00AB3475" w:rsidRDefault="00A853B3" w:rsidP="009B2A0E">
            <w:pPr>
              <w:pStyle w:val="TableParagraph"/>
              <w:spacing w:line="278" w:lineRule="auto"/>
              <w:ind w:left="680" w:right="233" w:hanging="440"/>
              <w:jc w:val="center"/>
              <w:rPr>
                <w:b/>
                <w:sz w:val="18"/>
              </w:rPr>
            </w:pPr>
            <w:r>
              <w:rPr>
                <w:b/>
                <w:spacing w:val="-2"/>
                <w:sz w:val="18"/>
              </w:rPr>
              <w:t>L&amp;G</w:t>
            </w:r>
            <w:r>
              <w:rPr>
                <w:b/>
                <w:spacing w:val="-11"/>
                <w:sz w:val="18"/>
              </w:rPr>
              <w:t xml:space="preserve"> </w:t>
            </w:r>
            <w:r w:rsidR="006F1380">
              <w:rPr>
                <w:b/>
                <w:spacing w:val="-2"/>
                <w:sz w:val="18"/>
              </w:rPr>
              <w:t>Cash Fund</w:t>
            </w:r>
          </w:p>
        </w:tc>
        <w:tc>
          <w:tcPr>
            <w:tcW w:w="2938" w:type="dxa"/>
            <w:gridSpan w:val="3"/>
            <w:shd w:val="clear" w:color="auto" w:fill="CE8D95"/>
          </w:tcPr>
          <w:p w14:paraId="533F5B29" w14:textId="0AB3FD93" w:rsidR="00AB3475" w:rsidRPr="006F1380" w:rsidRDefault="006F1380">
            <w:pPr>
              <w:pStyle w:val="TableParagraph"/>
              <w:spacing w:line="278" w:lineRule="auto"/>
              <w:ind w:left="876" w:hanging="548"/>
              <w:rPr>
                <w:b/>
                <w:bCs/>
                <w:sz w:val="18"/>
                <w:szCs w:val="18"/>
              </w:rPr>
            </w:pPr>
            <w:r w:rsidRPr="006F1380">
              <w:rPr>
                <w:rFonts w:eastAsia="Times New Roman"/>
                <w:b/>
                <w:bCs/>
                <w:sz w:val="18"/>
                <w:szCs w:val="18"/>
              </w:rPr>
              <w:t>L&amp;G MT Positive Change Fund</w:t>
            </w:r>
          </w:p>
        </w:tc>
      </w:tr>
      <w:tr w:rsidR="00AB3475" w14:paraId="533F5B35" w14:textId="77777777" w:rsidTr="00A25E1C">
        <w:trPr>
          <w:trHeight w:val="1320"/>
        </w:trPr>
        <w:tc>
          <w:tcPr>
            <w:tcW w:w="979" w:type="dxa"/>
            <w:vMerge/>
            <w:tcBorders>
              <w:top w:val="nil"/>
            </w:tcBorders>
            <w:shd w:val="clear" w:color="auto" w:fill="CE8D95"/>
          </w:tcPr>
          <w:p w14:paraId="533F5B2B" w14:textId="77777777" w:rsidR="00AB3475" w:rsidRDefault="00AB3475">
            <w:pPr>
              <w:rPr>
                <w:sz w:val="2"/>
                <w:szCs w:val="2"/>
              </w:rPr>
            </w:pPr>
          </w:p>
        </w:tc>
        <w:tc>
          <w:tcPr>
            <w:tcW w:w="977" w:type="dxa"/>
            <w:shd w:val="clear" w:color="auto" w:fill="CE8D95"/>
          </w:tcPr>
          <w:p w14:paraId="533F5B2C" w14:textId="77777777" w:rsidR="00AB3475" w:rsidRDefault="00A853B3">
            <w:pPr>
              <w:pStyle w:val="TableParagraph"/>
              <w:spacing w:line="278" w:lineRule="auto"/>
              <w:ind w:right="108" w:hanging="3"/>
              <w:jc w:val="center"/>
              <w:rPr>
                <w:b/>
                <w:sz w:val="18"/>
              </w:rPr>
            </w:pPr>
            <w:r>
              <w:rPr>
                <w:b/>
                <w:spacing w:val="-4"/>
                <w:sz w:val="18"/>
              </w:rPr>
              <w:t xml:space="preserve">Fund </w:t>
            </w:r>
            <w:r>
              <w:rPr>
                <w:b/>
                <w:spacing w:val="-2"/>
                <w:sz w:val="18"/>
              </w:rPr>
              <w:t xml:space="preserve">value (before </w:t>
            </w:r>
            <w:r>
              <w:rPr>
                <w:b/>
                <w:spacing w:val="-4"/>
                <w:sz w:val="18"/>
              </w:rPr>
              <w:t>charges)</w:t>
            </w:r>
          </w:p>
        </w:tc>
        <w:tc>
          <w:tcPr>
            <w:tcW w:w="980" w:type="dxa"/>
            <w:shd w:val="clear" w:color="auto" w:fill="CE8D95"/>
          </w:tcPr>
          <w:p w14:paraId="533F5B2D" w14:textId="77777777" w:rsidR="00AB3475" w:rsidRDefault="00A853B3">
            <w:pPr>
              <w:pStyle w:val="TableParagraph"/>
              <w:spacing w:line="278" w:lineRule="auto"/>
              <w:ind w:right="111"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82" w:type="dxa"/>
            <w:shd w:val="clear" w:color="auto" w:fill="CE8D95"/>
          </w:tcPr>
          <w:p w14:paraId="533F5B2E" w14:textId="77777777" w:rsidR="00AB3475" w:rsidRDefault="00A853B3">
            <w:pPr>
              <w:pStyle w:val="TableParagraph"/>
              <w:spacing w:line="278" w:lineRule="auto"/>
              <w:ind w:left="150" w:right="140" w:firstLine="3"/>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c>
          <w:tcPr>
            <w:tcW w:w="978" w:type="dxa"/>
            <w:shd w:val="clear" w:color="auto" w:fill="CE8D95"/>
          </w:tcPr>
          <w:p w14:paraId="533F5B2F" w14:textId="77777777" w:rsidR="00AB3475" w:rsidRDefault="00A853B3">
            <w:pPr>
              <w:pStyle w:val="TableParagraph"/>
              <w:spacing w:line="278" w:lineRule="auto"/>
              <w:ind w:right="109" w:hanging="3"/>
              <w:jc w:val="center"/>
              <w:rPr>
                <w:b/>
                <w:sz w:val="18"/>
              </w:rPr>
            </w:pPr>
            <w:r>
              <w:rPr>
                <w:b/>
                <w:spacing w:val="-4"/>
                <w:sz w:val="18"/>
              </w:rPr>
              <w:t xml:space="preserve">Fund </w:t>
            </w:r>
            <w:r>
              <w:rPr>
                <w:b/>
                <w:spacing w:val="-2"/>
                <w:sz w:val="18"/>
              </w:rPr>
              <w:t xml:space="preserve">value (before </w:t>
            </w:r>
            <w:r>
              <w:rPr>
                <w:b/>
                <w:spacing w:val="-4"/>
                <w:sz w:val="18"/>
              </w:rPr>
              <w:t>charges)</w:t>
            </w:r>
          </w:p>
        </w:tc>
        <w:tc>
          <w:tcPr>
            <w:tcW w:w="980" w:type="dxa"/>
            <w:shd w:val="clear" w:color="auto" w:fill="CE8D95"/>
          </w:tcPr>
          <w:p w14:paraId="533F5B30" w14:textId="77777777" w:rsidR="00AB3475" w:rsidRDefault="00A853B3">
            <w:pPr>
              <w:pStyle w:val="TableParagraph"/>
              <w:spacing w:line="278" w:lineRule="auto"/>
              <w:ind w:left="118" w:right="112"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82" w:type="dxa"/>
            <w:shd w:val="clear" w:color="auto" w:fill="CE8D95"/>
          </w:tcPr>
          <w:p w14:paraId="533F5B31" w14:textId="77777777" w:rsidR="00AB3475" w:rsidRDefault="00A853B3">
            <w:pPr>
              <w:pStyle w:val="TableParagraph"/>
              <w:spacing w:line="278" w:lineRule="auto"/>
              <w:ind w:left="148" w:right="142" w:firstLine="3"/>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c>
          <w:tcPr>
            <w:tcW w:w="980" w:type="dxa"/>
            <w:shd w:val="clear" w:color="auto" w:fill="CE8D95"/>
          </w:tcPr>
          <w:p w14:paraId="533F5B32" w14:textId="77777777" w:rsidR="00AB3475" w:rsidRDefault="00A853B3">
            <w:pPr>
              <w:pStyle w:val="TableParagraph"/>
              <w:spacing w:line="278" w:lineRule="auto"/>
              <w:ind w:right="111" w:hanging="2"/>
              <w:jc w:val="center"/>
              <w:rPr>
                <w:b/>
                <w:sz w:val="18"/>
              </w:rPr>
            </w:pPr>
            <w:r>
              <w:rPr>
                <w:b/>
                <w:spacing w:val="-4"/>
                <w:sz w:val="18"/>
              </w:rPr>
              <w:t xml:space="preserve">Fund </w:t>
            </w:r>
            <w:r>
              <w:rPr>
                <w:b/>
                <w:spacing w:val="-2"/>
                <w:sz w:val="18"/>
              </w:rPr>
              <w:t xml:space="preserve">value (before </w:t>
            </w:r>
            <w:r>
              <w:rPr>
                <w:b/>
                <w:spacing w:val="-4"/>
                <w:sz w:val="18"/>
              </w:rPr>
              <w:t>charges)</w:t>
            </w:r>
          </w:p>
        </w:tc>
        <w:tc>
          <w:tcPr>
            <w:tcW w:w="979" w:type="dxa"/>
            <w:shd w:val="clear" w:color="auto" w:fill="CE8D95"/>
          </w:tcPr>
          <w:p w14:paraId="533F5B33" w14:textId="77777777" w:rsidR="00AB3475" w:rsidRDefault="00A853B3">
            <w:pPr>
              <w:pStyle w:val="TableParagraph"/>
              <w:spacing w:line="278" w:lineRule="auto"/>
              <w:ind w:right="110"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79" w:type="dxa"/>
            <w:shd w:val="clear" w:color="auto" w:fill="CE8D95"/>
          </w:tcPr>
          <w:p w14:paraId="533F5B34" w14:textId="77777777" w:rsidR="00AB3475" w:rsidRDefault="00A853B3">
            <w:pPr>
              <w:pStyle w:val="TableParagraph"/>
              <w:spacing w:line="278" w:lineRule="auto"/>
              <w:ind w:left="148" w:right="140" w:hanging="2"/>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r>
      <w:tr w:rsidR="00DD4132" w14:paraId="533F5B4B" w14:textId="77777777" w:rsidTr="002D7087">
        <w:trPr>
          <w:trHeight w:val="362"/>
        </w:trPr>
        <w:tc>
          <w:tcPr>
            <w:tcW w:w="979" w:type="dxa"/>
            <w:tcBorders>
              <w:top w:val="nil"/>
              <w:left w:val="nil"/>
              <w:bottom w:val="nil"/>
              <w:right w:val="nil"/>
            </w:tcBorders>
          </w:tcPr>
          <w:p w14:paraId="533F5B41" w14:textId="0FB255EA" w:rsidR="00DD4132" w:rsidRPr="002D7087" w:rsidRDefault="00DD4132" w:rsidP="00DD4132">
            <w:pPr>
              <w:pStyle w:val="TableParagraph"/>
              <w:spacing w:before="95"/>
              <w:rPr>
                <w:sz w:val="16"/>
                <w:szCs w:val="16"/>
              </w:rPr>
            </w:pPr>
            <w:r w:rsidRPr="002D7087">
              <w:rPr>
                <w:color w:val="000000"/>
                <w:sz w:val="16"/>
                <w:szCs w:val="16"/>
              </w:rPr>
              <w:t>23</w:t>
            </w:r>
          </w:p>
        </w:tc>
        <w:tc>
          <w:tcPr>
            <w:tcW w:w="977" w:type="dxa"/>
            <w:tcBorders>
              <w:top w:val="nil"/>
              <w:left w:val="nil"/>
              <w:bottom w:val="nil"/>
              <w:right w:val="nil"/>
            </w:tcBorders>
          </w:tcPr>
          <w:p w14:paraId="533F5B42" w14:textId="4796AFF9" w:rsidR="00DD4132" w:rsidRPr="006E1396" w:rsidRDefault="00DD4132" w:rsidP="00DD4132">
            <w:pPr>
              <w:pStyle w:val="TableParagraph"/>
              <w:spacing w:before="118"/>
              <w:rPr>
                <w:sz w:val="16"/>
                <w:szCs w:val="16"/>
                <w:highlight w:val="lightGray"/>
              </w:rPr>
            </w:pPr>
            <w:r w:rsidRPr="002D7087">
              <w:rPr>
                <w:color w:val="000000"/>
                <w:sz w:val="16"/>
                <w:szCs w:val="16"/>
              </w:rPr>
              <w:t>£30,785</w:t>
            </w:r>
          </w:p>
        </w:tc>
        <w:tc>
          <w:tcPr>
            <w:tcW w:w="980" w:type="dxa"/>
            <w:tcBorders>
              <w:top w:val="nil"/>
              <w:left w:val="nil"/>
              <w:bottom w:val="nil"/>
              <w:right w:val="nil"/>
            </w:tcBorders>
          </w:tcPr>
          <w:p w14:paraId="533F5B43" w14:textId="7AE9C59C" w:rsidR="00DD4132" w:rsidRPr="006E1396" w:rsidRDefault="00DD4132" w:rsidP="00DD4132">
            <w:pPr>
              <w:pStyle w:val="TableParagraph"/>
              <w:spacing w:before="118"/>
              <w:rPr>
                <w:sz w:val="16"/>
                <w:szCs w:val="16"/>
                <w:highlight w:val="lightGray"/>
              </w:rPr>
            </w:pPr>
            <w:r w:rsidRPr="002D7087">
              <w:rPr>
                <w:color w:val="000000"/>
                <w:sz w:val="16"/>
                <w:szCs w:val="16"/>
              </w:rPr>
              <w:t>£30,714</w:t>
            </w:r>
          </w:p>
        </w:tc>
        <w:tc>
          <w:tcPr>
            <w:tcW w:w="982" w:type="dxa"/>
            <w:tcBorders>
              <w:top w:val="nil"/>
              <w:left w:val="nil"/>
              <w:bottom w:val="nil"/>
              <w:right w:val="nil"/>
            </w:tcBorders>
          </w:tcPr>
          <w:p w14:paraId="533F5B44" w14:textId="754EEFEC" w:rsidR="00DD4132" w:rsidRPr="006E1396" w:rsidRDefault="00DD4132" w:rsidP="00DD4132">
            <w:pPr>
              <w:pStyle w:val="TableParagraph"/>
              <w:spacing w:before="118"/>
              <w:rPr>
                <w:sz w:val="16"/>
                <w:szCs w:val="16"/>
                <w:highlight w:val="lightGray"/>
              </w:rPr>
            </w:pPr>
            <w:r w:rsidRPr="002D7087">
              <w:rPr>
                <w:color w:val="000000"/>
                <w:sz w:val="16"/>
                <w:szCs w:val="16"/>
              </w:rPr>
              <w:t>£71</w:t>
            </w:r>
          </w:p>
        </w:tc>
        <w:tc>
          <w:tcPr>
            <w:tcW w:w="978" w:type="dxa"/>
            <w:tcBorders>
              <w:top w:val="nil"/>
              <w:left w:val="nil"/>
              <w:bottom w:val="nil"/>
              <w:right w:val="nil"/>
            </w:tcBorders>
          </w:tcPr>
          <w:p w14:paraId="533F5B45" w14:textId="7057337B" w:rsidR="00DD4132" w:rsidRPr="00CC7FE0" w:rsidRDefault="00DD4132" w:rsidP="00DD4132">
            <w:pPr>
              <w:pStyle w:val="TableParagraph"/>
              <w:spacing w:before="118"/>
              <w:rPr>
                <w:sz w:val="16"/>
                <w:szCs w:val="16"/>
                <w:highlight w:val="lightGray"/>
              </w:rPr>
            </w:pPr>
            <w:r w:rsidRPr="002D7087">
              <w:rPr>
                <w:color w:val="000000"/>
                <w:sz w:val="16"/>
                <w:szCs w:val="16"/>
              </w:rPr>
              <w:t>£29,892</w:t>
            </w:r>
          </w:p>
        </w:tc>
        <w:tc>
          <w:tcPr>
            <w:tcW w:w="980" w:type="dxa"/>
            <w:tcBorders>
              <w:top w:val="nil"/>
              <w:left w:val="nil"/>
              <w:bottom w:val="nil"/>
              <w:right w:val="nil"/>
            </w:tcBorders>
          </w:tcPr>
          <w:p w14:paraId="533F5B46" w14:textId="5C5EF489" w:rsidR="00DD4132" w:rsidRPr="00CC7FE0" w:rsidRDefault="00DD4132" w:rsidP="00DD4132">
            <w:pPr>
              <w:pStyle w:val="TableParagraph"/>
              <w:spacing w:before="118"/>
              <w:ind w:left="118"/>
              <w:rPr>
                <w:sz w:val="16"/>
                <w:szCs w:val="16"/>
                <w:highlight w:val="lightGray"/>
              </w:rPr>
            </w:pPr>
            <w:r w:rsidRPr="002D7087">
              <w:rPr>
                <w:color w:val="000000"/>
                <w:sz w:val="16"/>
                <w:szCs w:val="16"/>
              </w:rPr>
              <w:t>£29,856</w:t>
            </w:r>
          </w:p>
        </w:tc>
        <w:tc>
          <w:tcPr>
            <w:tcW w:w="982" w:type="dxa"/>
            <w:tcBorders>
              <w:top w:val="nil"/>
              <w:left w:val="nil"/>
              <w:bottom w:val="nil"/>
              <w:right w:val="nil"/>
            </w:tcBorders>
          </w:tcPr>
          <w:p w14:paraId="533F5B47" w14:textId="41D8198A" w:rsidR="00DD4132" w:rsidRPr="00CC7FE0" w:rsidRDefault="00DD4132" w:rsidP="00DD4132">
            <w:pPr>
              <w:pStyle w:val="TableParagraph"/>
              <w:spacing w:before="118"/>
              <w:ind w:left="117"/>
              <w:rPr>
                <w:sz w:val="16"/>
                <w:szCs w:val="16"/>
                <w:highlight w:val="lightGray"/>
              </w:rPr>
            </w:pPr>
            <w:r w:rsidRPr="002D7087">
              <w:rPr>
                <w:color w:val="000000"/>
                <w:sz w:val="16"/>
                <w:szCs w:val="16"/>
              </w:rPr>
              <w:t>£36</w:t>
            </w:r>
          </w:p>
        </w:tc>
        <w:tc>
          <w:tcPr>
            <w:tcW w:w="980" w:type="dxa"/>
            <w:tcBorders>
              <w:top w:val="nil"/>
              <w:left w:val="nil"/>
              <w:bottom w:val="nil"/>
              <w:right w:val="nil"/>
            </w:tcBorders>
          </w:tcPr>
          <w:p w14:paraId="533F5B48" w14:textId="1A58A0F2" w:rsidR="00DD4132" w:rsidRPr="006F1380" w:rsidRDefault="00DD4132" w:rsidP="00DD4132">
            <w:pPr>
              <w:pStyle w:val="TableParagraph"/>
              <w:spacing w:before="118"/>
              <w:ind w:left="117"/>
              <w:rPr>
                <w:sz w:val="16"/>
                <w:highlight w:val="lightGray"/>
              </w:rPr>
            </w:pPr>
            <w:r>
              <w:rPr>
                <w:color w:val="000000"/>
                <w:sz w:val="16"/>
                <w:szCs w:val="16"/>
              </w:rPr>
              <w:t>£31,245</w:t>
            </w:r>
          </w:p>
        </w:tc>
        <w:tc>
          <w:tcPr>
            <w:tcW w:w="979" w:type="dxa"/>
            <w:tcBorders>
              <w:top w:val="nil"/>
              <w:left w:val="nil"/>
              <w:bottom w:val="nil"/>
              <w:right w:val="nil"/>
            </w:tcBorders>
          </w:tcPr>
          <w:p w14:paraId="533F5B49" w14:textId="55232746" w:rsidR="00DD4132" w:rsidRPr="006F1380" w:rsidRDefault="00DD4132" w:rsidP="00DD4132">
            <w:pPr>
              <w:pStyle w:val="TableParagraph"/>
              <w:spacing w:before="118"/>
              <w:ind w:left="116"/>
              <w:rPr>
                <w:sz w:val="16"/>
                <w:highlight w:val="lightGray"/>
              </w:rPr>
            </w:pPr>
            <w:r>
              <w:rPr>
                <w:color w:val="000000"/>
                <w:sz w:val="16"/>
                <w:szCs w:val="16"/>
              </w:rPr>
              <w:t>£31,075</w:t>
            </w:r>
          </w:p>
        </w:tc>
        <w:tc>
          <w:tcPr>
            <w:tcW w:w="979" w:type="dxa"/>
            <w:tcBorders>
              <w:top w:val="nil"/>
              <w:left w:val="nil"/>
              <w:bottom w:val="nil"/>
              <w:right w:val="nil"/>
            </w:tcBorders>
          </w:tcPr>
          <w:p w14:paraId="533F5B4A" w14:textId="40A68D95" w:rsidR="00DD4132" w:rsidRPr="006F1380" w:rsidRDefault="00DD4132" w:rsidP="00DD4132">
            <w:pPr>
              <w:pStyle w:val="TableParagraph"/>
              <w:spacing w:before="118"/>
              <w:ind w:left="117"/>
              <w:rPr>
                <w:sz w:val="16"/>
                <w:highlight w:val="lightGray"/>
              </w:rPr>
            </w:pPr>
            <w:r>
              <w:rPr>
                <w:color w:val="000000"/>
                <w:sz w:val="16"/>
                <w:szCs w:val="16"/>
              </w:rPr>
              <w:t>£170</w:t>
            </w:r>
          </w:p>
        </w:tc>
      </w:tr>
      <w:tr w:rsidR="00DD4132" w14:paraId="533F5B56" w14:textId="77777777" w:rsidTr="002D7087">
        <w:trPr>
          <w:trHeight w:val="359"/>
        </w:trPr>
        <w:tc>
          <w:tcPr>
            <w:tcW w:w="979" w:type="dxa"/>
            <w:tcBorders>
              <w:top w:val="nil"/>
              <w:left w:val="nil"/>
              <w:bottom w:val="nil"/>
              <w:right w:val="nil"/>
            </w:tcBorders>
          </w:tcPr>
          <w:p w14:paraId="533F5B4C" w14:textId="50926F36" w:rsidR="00DD4132" w:rsidRPr="002D7087" w:rsidRDefault="00DD4132" w:rsidP="00DD4132">
            <w:pPr>
              <w:pStyle w:val="TableParagraph"/>
              <w:rPr>
                <w:sz w:val="16"/>
                <w:szCs w:val="16"/>
              </w:rPr>
            </w:pPr>
            <w:r w:rsidRPr="002D7087">
              <w:rPr>
                <w:color w:val="000000"/>
                <w:sz w:val="16"/>
                <w:szCs w:val="16"/>
              </w:rPr>
              <w:t>25</w:t>
            </w:r>
          </w:p>
        </w:tc>
        <w:tc>
          <w:tcPr>
            <w:tcW w:w="977" w:type="dxa"/>
            <w:tcBorders>
              <w:top w:val="nil"/>
              <w:left w:val="nil"/>
              <w:bottom w:val="nil"/>
              <w:right w:val="nil"/>
            </w:tcBorders>
          </w:tcPr>
          <w:p w14:paraId="533F5B4D" w14:textId="1CC13B8B" w:rsidR="00DD4132" w:rsidRPr="006E1396" w:rsidRDefault="00DD4132" w:rsidP="00DD4132">
            <w:pPr>
              <w:pStyle w:val="TableParagraph"/>
              <w:spacing w:before="116"/>
              <w:rPr>
                <w:sz w:val="16"/>
                <w:szCs w:val="16"/>
                <w:highlight w:val="lightGray"/>
              </w:rPr>
            </w:pPr>
            <w:r w:rsidRPr="002D7087">
              <w:rPr>
                <w:color w:val="000000"/>
                <w:sz w:val="16"/>
                <w:szCs w:val="16"/>
              </w:rPr>
              <w:t>£42,372</w:t>
            </w:r>
          </w:p>
        </w:tc>
        <w:tc>
          <w:tcPr>
            <w:tcW w:w="980" w:type="dxa"/>
            <w:tcBorders>
              <w:top w:val="nil"/>
              <w:left w:val="nil"/>
              <w:bottom w:val="nil"/>
              <w:right w:val="nil"/>
            </w:tcBorders>
          </w:tcPr>
          <w:p w14:paraId="533F5B4E" w14:textId="3C15FD91" w:rsidR="00DD4132" w:rsidRPr="006E1396" w:rsidRDefault="00DD4132" w:rsidP="00DD4132">
            <w:pPr>
              <w:pStyle w:val="TableParagraph"/>
              <w:spacing w:before="116"/>
              <w:rPr>
                <w:sz w:val="16"/>
                <w:szCs w:val="16"/>
                <w:highlight w:val="lightGray"/>
              </w:rPr>
            </w:pPr>
            <w:r w:rsidRPr="002D7087">
              <w:rPr>
                <w:color w:val="000000"/>
                <w:sz w:val="16"/>
                <w:szCs w:val="16"/>
              </w:rPr>
              <w:t>£42,109</w:t>
            </w:r>
          </w:p>
        </w:tc>
        <w:tc>
          <w:tcPr>
            <w:tcW w:w="982" w:type="dxa"/>
            <w:tcBorders>
              <w:top w:val="nil"/>
              <w:left w:val="nil"/>
              <w:bottom w:val="nil"/>
              <w:right w:val="nil"/>
            </w:tcBorders>
          </w:tcPr>
          <w:p w14:paraId="533F5B4F" w14:textId="32AD74C0" w:rsidR="00DD4132" w:rsidRPr="006E1396" w:rsidRDefault="00DD4132" w:rsidP="00DD4132">
            <w:pPr>
              <w:pStyle w:val="TableParagraph"/>
              <w:spacing w:before="116"/>
              <w:rPr>
                <w:sz w:val="16"/>
                <w:szCs w:val="16"/>
                <w:highlight w:val="lightGray"/>
              </w:rPr>
            </w:pPr>
            <w:r w:rsidRPr="002D7087">
              <w:rPr>
                <w:color w:val="000000"/>
                <w:sz w:val="16"/>
                <w:szCs w:val="16"/>
              </w:rPr>
              <w:t>£263</w:t>
            </w:r>
          </w:p>
        </w:tc>
        <w:tc>
          <w:tcPr>
            <w:tcW w:w="978" w:type="dxa"/>
            <w:tcBorders>
              <w:top w:val="nil"/>
              <w:left w:val="nil"/>
              <w:bottom w:val="nil"/>
              <w:right w:val="nil"/>
            </w:tcBorders>
          </w:tcPr>
          <w:p w14:paraId="533F5B50" w14:textId="4364B1C2" w:rsidR="00DD4132" w:rsidRPr="00CC7FE0" w:rsidRDefault="00DD4132" w:rsidP="00DD4132">
            <w:pPr>
              <w:pStyle w:val="TableParagraph"/>
              <w:spacing w:before="116"/>
              <w:rPr>
                <w:sz w:val="16"/>
                <w:szCs w:val="16"/>
                <w:highlight w:val="lightGray"/>
              </w:rPr>
            </w:pPr>
            <w:r w:rsidRPr="002D7087">
              <w:rPr>
                <w:color w:val="000000"/>
                <w:sz w:val="16"/>
                <w:szCs w:val="16"/>
              </w:rPr>
              <w:t>£39,157</w:t>
            </w:r>
          </w:p>
        </w:tc>
        <w:tc>
          <w:tcPr>
            <w:tcW w:w="980" w:type="dxa"/>
            <w:tcBorders>
              <w:top w:val="nil"/>
              <w:left w:val="nil"/>
              <w:bottom w:val="nil"/>
              <w:right w:val="nil"/>
            </w:tcBorders>
          </w:tcPr>
          <w:p w14:paraId="533F5B51" w14:textId="0904284F" w:rsidR="00DD4132" w:rsidRPr="00CC7FE0" w:rsidRDefault="00DD4132" w:rsidP="00DD4132">
            <w:pPr>
              <w:pStyle w:val="TableParagraph"/>
              <w:spacing w:before="116"/>
              <w:ind w:left="118"/>
              <w:rPr>
                <w:sz w:val="16"/>
                <w:szCs w:val="16"/>
                <w:highlight w:val="lightGray"/>
              </w:rPr>
            </w:pPr>
            <w:r w:rsidRPr="002D7087">
              <w:rPr>
                <w:color w:val="000000"/>
                <w:sz w:val="16"/>
                <w:szCs w:val="16"/>
              </w:rPr>
              <w:t>£39,032</w:t>
            </w:r>
          </w:p>
        </w:tc>
        <w:tc>
          <w:tcPr>
            <w:tcW w:w="982" w:type="dxa"/>
            <w:tcBorders>
              <w:top w:val="nil"/>
              <w:left w:val="nil"/>
              <w:bottom w:val="nil"/>
              <w:right w:val="nil"/>
            </w:tcBorders>
          </w:tcPr>
          <w:p w14:paraId="533F5B52" w14:textId="7F8B2773" w:rsidR="00DD4132" w:rsidRPr="00CC7FE0" w:rsidRDefault="00DD4132" w:rsidP="00DD4132">
            <w:pPr>
              <w:pStyle w:val="TableParagraph"/>
              <w:spacing w:before="116"/>
              <w:ind w:left="117"/>
              <w:rPr>
                <w:sz w:val="16"/>
                <w:szCs w:val="16"/>
                <w:highlight w:val="lightGray"/>
              </w:rPr>
            </w:pPr>
            <w:r w:rsidRPr="002D7087">
              <w:rPr>
                <w:color w:val="000000"/>
                <w:sz w:val="16"/>
                <w:szCs w:val="16"/>
              </w:rPr>
              <w:t>£125</w:t>
            </w:r>
          </w:p>
        </w:tc>
        <w:tc>
          <w:tcPr>
            <w:tcW w:w="980" w:type="dxa"/>
            <w:tcBorders>
              <w:top w:val="nil"/>
              <w:left w:val="nil"/>
              <w:bottom w:val="nil"/>
              <w:right w:val="nil"/>
            </w:tcBorders>
          </w:tcPr>
          <w:p w14:paraId="533F5B53" w14:textId="1875754B" w:rsidR="00DD4132" w:rsidRPr="006F1380" w:rsidRDefault="00DD4132" w:rsidP="00DD4132">
            <w:pPr>
              <w:pStyle w:val="TableParagraph"/>
              <w:spacing w:before="116"/>
              <w:ind w:left="117"/>
              <w:rPr>
                <w:sz w:val="16"/>
                <w:highlight w:val="lightGray"/>
              </w:rPr>
            </w:pPr>
            <w:r>
              <w:rPr>
                <w:color w:val="000000"/>
                <w:sz w:val="16"/>
                <w:szCs w:val="16"/>
              </w:rPr>
              <w:t>£44,100</w:t>
            </w:r>
          </w:p>
        </w:tc>
        <w:tc>
          <w:tcPr>
            <w:tcW w:w="979" w:type="dxa"/>
            <w:tcBorders>
              <w:top w:val="nil"/>
              <w:left w:val="nil"/>
              <w:bottom w:val="nil"/>
              <w:right w:val="nil"/>
            </w:tcBorders>
          </w:tcPr>
          <w:p w14:paraId="533F5B54" w14:textId="6D21844D" w:rsidR="00DD4132" w:rsidRPr="006F1380" w:rsidRDefault="00DD4132" w:rsidP="00DD4132">
            <w:pPr>
              <w:pStyle w:val="TableParagraph"/>
              <w:spacing w:before="116"/>
              <w:ind w:left="116"/>
              <w:rPr>
                <w:sz w:val="16"/>
                <w:highlight w:val="lightGray"/>
              </w:rPr>
            </w:pPr>
            <w:r>
              <w:rPr>
                <w:color w:val="000000"/>
                <w:sz w:val="16"/>
                <w:szCs w:val="16"/>
              </w:rPr>
              <w:t>£43,454</w:t>
            </w:r>
          </w:p>
        </w:tc>
        <w:tc>
          <w:tcPr>
            <w:tcW w:w="979" w:type="dxa"/>
            <w:tcBorders>
              <w:top w:val="nil"/>
              <w:left w:val="nil"/>
              <w:bottom w:val="nil"/>
              <w:right w:val="nil"/>
            </w:tcBorders>
          </w:tcPr>
          <w:p w14:paraId="533F5B55" w14:textId="39DD77CF" w:rsidR="00DD4132" w:rsidRPr="006F1380" w:rsidRDefault="00DD4132" w:rsidP="00DD4132">
            <w:pPr>
              <w:pStyle w:val="TableParagraph"/>
              <w:spacing w:before="116"/>
              <w:ind w:left="117"/>
              <w:rPr>
                <w:sz w:val="16"/>
                <w:highlight w:val="lightGray"/>
              </w:rPr>
            </w:pPr>
            <w:r>
              <w:rPr>
                <w:color w:val="000000"/>
                <w:sz w:val="16"/>
                <w:szCs w:val="16"/>
              </w:rPr>
              <w:t>£646</w:t>
            </w:r>
          </w:p>
        </w:tc>
      </w:tr>
      <w:tr w:rsidR="00DD4132" w14:paraId="533F5B61" w14:textId="77777777" w:rsidTr="002D7087">
        <w:trPr>
          <w:trHeight w:val="359"/>
        </w:trPr>
        <w:tc>
          <w:tcPr>
            <w:tcW w:w="979" w:type="dxa"/>
            <w:tcBorders>
              <w:top w:val="nil"/>
              <w:left w:val="nil"/>
              <w:bottom w:val="nil"/>
              <w:right w:val="nil"/>
            </w:tcBorders>
          </w:tcPr>
          <w:p w14:paraId="533F5B57" w14:textId="004A012B" w:rsidR="00DD4132" w:rsidRPr="002D7087" w:rsidRDefault="00DD4132" w:rsidP="00DD4132">
            <w:pPr>
              <w:pStyle w:val="TableParagraph"/>
              <w:rPr>
                <w:sz w:val="16"/>
                <w:szCs w:val="16"/>
              </w:rPr>
            </w:pPr>
            <w:r w:rsidRPr="002D7087">
              <w:rPr>
                <w:color w:val="000000"/>
                <w:sz w:val="16"/>
                <w:szCs w:val="16"/>
              </w:rPr>
              <w:t>27</w:t>
            </w:r>
          </w:p>
        </w:tc>
        <w:tc>
          <w:tcPr>
            <w:tcW w:w="977" w:type="dxa"/>
            <w:tcBorders>
              <w:top w:val="nil"/>
              <w:left w:val="nil"/>
              <w:bottom w:val="nil"/>
              <w:right w:val="nil"/>
            </w:tcBorders>
          </w:tcPr>
          <w:p w14:paraId="533F5B58" w14:textId="321B6E3E" w:rsidR="00DD4132" w:rsidRPr="006E1396" w:rsidRDefault="00DD4132" w:rsidP="00DD4132">
            <w:pPr>
              <w:pStyle w:val="TableParagraph"/>
              <w:spacing w:before="116"/>
              <w:rPr>
                <w:sz w:val="16"/>
                <w:szCs w:val="16"/>
                <w:highlight w:val="lightGray"/>
              </w:rPr>
            </w:pPr>
            <w:r w:rsidRPr="002D7087">
              <w:rPr>
                <w:color w:val="000000"/>
                <w:sz w:val="16"/>
                <w:szCs w:val="16"/>
              </w:rPr>
              <w:t>£54,125</w:t>
            </w:r>
          </w:p>
        </w:tc>
        <w:tc>
          <w:tcPr>
            <w:tcW w:w="980" w:type="dxa"/>
            <w:tcBorders>
              <w:top w:val="nil"/>
              <w:left w:val="nil"/>
              <w:bottom w:val="nil"/>
              <w:right w:val="nil"/>
            </w:tcBorders>
          </w:tcPr>
          <w:p w14:paraId="533F5B59" w14:textId="61610D06" w:rsidR="00DD4132" w:rsidRPr="006E1396" w:rsidRDefault="00DD4132" w:rsidP="00DD4132">
            <w:pPr>
              <w:pStyle w:val="TableParagraph"/>
              <w:spacing w:before="116"/>
              <w:rPr>
                <w:sz w:val="16"/>
                <w:szCs w:val="16"/>
                <w:highlight w:val="lightGray"/>
              </w:rPr>
            </w:pPr>
            <w:r w:rsidRPr="002D7087">
              <w:rPr>
                <w:color w:val="000000"/>
                <w:sz w:val="16"/>
                <w:szCs w:val="16"/>
              </w:rPr>
              <w:t>£53,601</w:t>
            </w:r>
          </w:p>
        </w:tc>
        <w:tc>
          <w:tcPr>
            <w:tcW w:w="982" w:type="dxa"/>
            <w:tcBorders>
              <w:top w:val="nil"/>
              <w:left w:val="nil"/>
              <w:bottom w:val="nil"/>
              <w:right w:val="nil"/>
            </w:tcBorders>
          </w:tcPr>
          <w:p w14:paraId="533F5B5A" w14:textId="633D98DD" w:rsidR="00DD4132" w:rsidRPr="006E1396" w:rsidRDefault="00DD4132" w:rsidP="00DD4132">
            <w:pPr>
              <w:pStyle w:val="TableParagraph"/>
              <w:spacing w:before="116"/>
              <w:rPr>
                <w:sz w:val="16"/>
                <w:szCs w:val="16"/>
                <w:highlight w:val="lightGray"/>
              </w:rPr>
            </w:pPr>
            <w:r w:rsidRPr="002D7087">
              <w:rPr>
                <w:color w:val="000000"/>
                <w:sz w:val="16"/>
                <w:szCs w:val="16"/>
              </w:rPr>
              <w:t>£524</w:t>
            </w:r>
          </w:p>
        </w:tc>
        <w:tc>
          <w:tcPr>
            <w:tcW w:w="978" w:type="dxa"/>
            <w:tcBorders>
              <w:top w:val="nil"/>
              <w:left w:val="nil"/>
              <w:bottom w:val="nil"/>
              <w:right w:val="nil"/>
            </w:tcBorders>
          </w:tcPr>
          <w:p w14:paraId="533F5B5B" w14:textId="4D1E2F86" w:rsidR="00DD4132" w:rsidRPr="00CC7FE0" w:rsidRDefault="00DD4132" w:rsidP="00DD4132">
            <w:pPr>
              <w:pStyle w:val="TableParagraph"/>
              <w:spacing w:before="116"/>
              <w:rPr>
                <w:sz w:val="16"/>
                <w:szCs w:val="16"/>
                <w:highlight w:val="lightGray"/>
              </w:rPr>
            </w:pPr>
            <w:r w:rsidRPr="002D7087">
              <w:rPr>
                <w:color w:val="000000"/>
                <w:sz w:val="16"/>
                <w:szCs w:val="16"/>
              </w:rPr>
              <w:t>£47,872</w:t>
            </w:r>
          </w:p>
        </w:tc>
        <w:tc>
          <w:tcPr>
            <w:tcW w:w="980" w:type="dxa"/>
            <w:tcBorders>
              <w:top w:val="nil"/>
              <w:left w:val="nil"/>
              <w:bottom w:val="nil"/>
              <w:right w:val="nil"/>
            </w:tcBorders>
          </w:tcPr>
          <w:p w14:paraId="533F5B5C" w14:textId="1A120E56" w:rsidR="00DD4132" w:rsidRPr="00CC7FE0" w:rsidRDefault="00DD4132" w:rsidP="00DD4132">
            <w:pPr>
              <w:pStyle w:val="TableParagraph"/>
              <w:spacing w:before="116"/>
              <w:ind w:left="118"/>
              <w:rPr>
                <w:sz w:val="16"/>
                <w:szCs w:val="16"/>
                <w:highlight w:val="lightGray"/>
              </w:rPr>
            </w:pPr>
            <w:r w:rsidRPr="002D7087">
              <w:rPr>
                <w:color w:val="000000"/>
                <w:sz w:val="16"/>
                <w:szCs w:val="16"/>
              </w:rPr>
              <w:t>£47,635</w:t>
            </w:r>
          </w:p>
        </w:tc>
        <w:tc>
          <w:tcPr>
            <w:tcW w:w="982" w:type="dxa"/>
            <w:tcBorders>
              <w:top w:val="nil"/>
              <w:left w:val="nil"/>
              <w:bottom w:val="nil"/>
              <w:right w:val="nil"/>
            </w:tcBorders>
          </w:tcPr>
          <w:p w14:paraId="533F5B5D" w14:textId="41BCA6E0" w:rsidR="00DD4132" w:rsidRPr="00CC7FE0" w:rsidRDefault="00DD4132" w:rsidP="00DD4132">
            <w:pPr>
              <w:pStyle w:val="TableParagraph"/>
              <w:spacing w:before="116"/>
              <w:ind w:left="117"/>
              <w:rPr>
                <w:sz w:val="16"/>
                <w:szCs w:val="16"/>
                <w:highlight w:val="lightGray"/>
              </w:rPr>
            </w:pPr>
            <w:r w:rsidRPr="002D7087">
              <w:rPr>
                <w:color w:val="000000"/>
                <w:sz w:val="16"/>
                <w:szCs w:val="16"/>
              </w:rPr>
              <w:t>£237</w:t>
            </w:r>
          </w:p>
        </w:tc>
        <w:tc>
          <w:tcPr>
            <w:tcW w:w="980" w:type="dxa"/>
            <w:tcBorders>
              <w:top w:val="nil"/>
              <w:left w:val="nil"/>
              <w:bottom w:val="nil"/>
              <w:right w:val="nil"/>
            </w:tcBorders>
          </w:tcPr>
          <w:p w14:paraId="533F5B5E" w14:textId="7D5AAA99" w:rsidR="00DD4132" w:rsidRPr="006F1380" w:rsidRDefault="00DD4132" w:rsidP="00DD4132">
            <w:pPr>
              <w:pStyle w:val="TableParagraph"/>
              <w:spacing w:before="116"/>
              <w:ind w:left="117"/>
              <w:rPr>
                <w:sz w:val="16"/>
                <w:highlight w:val="lightGray"/>
              </w:rPr>
            </w:pPr>
            <w:r>
              <w:rPr>
                <w:color w:val="000000"/>
                <w:sz w:val="16"/>
                <w:szCs w:val="16"/>
              </w:rPr>
              <w:t>£57,625</w:t>
            </w:r>
          </w:p>
        </w:tc>
        <w:tc>
          <w:tcPr>
            <w:tcW w:w="979" w:type="dxa"/>
            <w:tcBorders>
              <w:top w:val="nil"/>
              <w:left w:val="nil"/>
              <w:bottom w:val="nil"/>
              <w:right w:val="nil"/>
            </w:tcBorders>
          </w:tcPr>
          <w:p w14:paraId="533F5B5F" w14:textId="1A4FBDE0" w:rsidR="00DD4132" w:rsidRPr="006F1380" w:rsidRDefault="00DD4132" w:rsidP="00DD4132">
            <w:pPr>
              <w:pStyle w:val="TableParagraph"/>
              <w:spacing w:before="116"/>
              <w:ind w:left="116"/>
              <w:rPr>
                <w:sz w:val="16"/>
                <w:highlight w:val="lightGray"/>
              </w:rPr>
            </w:pPr>
            <w:r>
              <w:rPr>
                <w:color w:val="000000"/>
                <w:sz w:val="16"/>
                <w:szCs w:val="16"/>
              </w:rPr>
              <w:t>£56,305</w:t>
            </w:r>
          </w:p>
        </w:tc>
        <w:tc>
          <w:tcPr>
            <w:tcW w:w="979" w:type="dxa"/>
            <w:tcBorders>
              <w:top w:val="nil"/>
              <w:left w:val="nil"/>
              <w:bottom w:val="nil"/>
              <w:right w:val="nil"/>
            </w:tcBorders>
          </w:tcPr>
          <w:p w14:paraId="533F5B60" w14:textId="0033EB75" w:rsidR="00DD4132" w:rsidRPr="006F1380" w:rsidRDefault="00DD4132" w:rsidP="00DD4132">
            <w:pPr>
              <w:pStyle w:val="TableParagraph"/>
              <w:spacing w:before="116"/>
              <w:ind w:left="117"/>
              <w:rPr>
                <w:sz w:val="16"/>
                <w:highlight w:val="lightGray"/>
              </w:rPr>
            </w:pPr>
            <w:r>
              <w:rPr>
                <w:color w:val="000000"/>
                <w:sz w:val="16"/>
                <w:szCs w:val="16"/>
              </w:rPr>
              <w:t>£1,320</w:t>
            </w:r>
          </w:p>
        </w:tc>
      </w:tr>
      <w:tr w:rsidR="00DD4132" w14:paraId="533F5B6C" w14:textId="77777777" w:rsidTr="002D7087">
        <w:trPr>
          <w:trHeight w:val="359"/>
        </w:trPr>
        <w:tc>
          <w:tcPr>
            <w:tcW w:w="979" w:type="dxa"/>
            <w:tcBorders>
              <w:top w:val="nil"/>
              <w:left w:val="nil"/>
              <w:bottom w:val="nil"/>
              <w:right w:val="nil"/>
            </w:tcBorders>
          </w:tcPr>
          <w:p w14:paraId="533F5B62" w14:textId="62DC9A01" w:rsidR="00DD4132" w:rsidRPr="002D7087" w:rsidRDefault="00DD4132" w:rsidP="00DD4132">
            <w:pPr>
              <w:pStyle w:val="TableParagraph"/>
              <w:rPr>
                <w:sz w:val="16"/>
                <w:szCs w:val="16"/>
              </w:rPr>
            </w:pPr>
            <w:r w:rsidRPr="002D7087">
              <w:rPr>
                <w:color w:val="000000"/>
                <w:sz w:val="16"/>
                <w:szCs w:val="16"/>
              </w:rPr>
              <w:t>32</w:t>
            </w:r>
          </w:p>
        </w:tc>
        <w:tc>
          <w:tcPr>
            <w:tcW w:w="977" w:type="dxa"/>
            <w:tcBorders>
              <w:top w:val="nil"/>
              <w:left w:val="nil"/>
              <w:bottom w:val="nil"/>
              <w:right w:val="nil"/>
            </w:tcBorders>
          </w:tcPr>
          <w:p w14:paraId="533F5B63" w14:textId="440D028A" w:rsidR="00DD4132" w:rsidRPr="006E1396" w:rsidRDefault="00DD4132" w:rsidP="00DD4132">
            <w:pPr>
              <w:pStyle w:val="TableParagraph"/>
              <w:spacing w:before="116"/>
              <w:rPr>
                <w:sz w:val="16"/>
                <w:szCs w:val="16"/>
                <w:highlight w:val="lightGray"/>
              </w:rPr>
            </w:pPr>
            <w:r w:rsidRPr="002D7087">
              <w:rPr>
                <w:color w:val="000000"/>
                <w:sz w:val="16"/>
                <w:szCs w:val="16"/>
              </w:rPr>
              <w:t>£84,442</w:t>
            </w:r>
          </w:p>
        </w:tc>
        <w:tc>
          <w:tcPr>
            <w:tcW w:w="980" w:type="dxa"/>
            <w:tcBorders>
              <w:top w:val="nil"/>
              <w:left w:val="nil"/>
              <w:bottom w:val="nil"/>
              <w:right w:val="nil"/>
            </w:tcBorders>
          </w:tcPr>
          <w:p w14:paraId="533F5B64" w14:textId="422738C1" w:rsidR="00DD4132" w:rsidRPr="006E1396" w:rsidRDefault="00DD4132" w:rsidP="00DD4132">
            <w:pPr>
              <w:pStyle w:val="TableParagraph"/>
              <w:spacing w:before="116"/>
              <w:rPr>
                <w:sz w:val="16"/>
                <w:szCs w:val="16"/>
                <w:highlight w:val="lightGray"/>
              </w:rPr>
            </w:pPr>
            <w:r w:rsidRPr="002D7087">
              <w:rPr>
                <w:color w:val="000000"/>
                <w:sz w:val="16"/>
                <w:szCs w:val="16"/>
              </w:rPr>
              <w:t>£82,932</w:t>
            </w:r>
          </w:p>
        </w:tc>
        <w:tc>
          <w:tcPr>
            <w:tcW w:w="982" w:type="dxa"/>
            <w:tcBorders>
              <w:top w:val="nil"/>
              <w:left w:val="nil"/>
              <w:bottom w:val="nil"/>
              <w:right w:val="nil"/>
            </w:tcBorders>
          </w:tcPr>
          <w:p w14:paraId="533F5B65" w14:textId="75B92F08" w:rsidR="00DD4132" w:rsidRPr="006E1396" w:rsidRDefault="00DD4132" w:rsidP="00DD4132">
            <w:pPr>
              <w:pStyle w:val="TableParagraph"/>
              <w:spacing w:before="116"/>
              <w:rPr>
                <w:sz w:val="16"/>
                <w:szCs w:val="16"/>
                <w:highlight w:val="lightGray"/>
              </w:rPr>
            </w:pPr>
            <w:r w:rsidRPr="002D7087">
              <w:rPr>
                <w:color w:val="000000"/>
                <w:sz w:val="16"/>
                <w:szCs w:val="16"/>
              </w:rPr>
              <w:t>£1,510</w:t>
            </w:r>
          </w:p>
        </w:tc>
        <w:tc>
          <w:tcPr>
            <w:tcW w:w="978" w:type="dxa"/>
            <w:tcBorders>
              <w:top w:val="nil"/>
              <w:left w:val="nil"/>
              <w:bottom w:val="nil"/>
              <w:right w:val="nil"/>
            </w:tcBorders>
          </w:tcPr>
          <w:p w14:paraId="533F5B66" w14:textId="5C4E4DD3" w:rsidR="00DD4132" w:rsidRPr="00CC7FE0" w:rsidRDefault="00DD4132" w:rsidP="00DD4132">
            <w:pPr>
              <w:pStyle w:val="TableParagraph"/>
              <w:spacing w:before="116"/>
              <w:rPr>
                <w:sz w:val="16"/>
                <w:szCs w:val="16"/>
                <w:highlight w:val="lightGray"/>
              </w:rPr>
            </w:pPr>
            <w:r w:rsidRPr="002D7087">
              <w:rPr>
                <w:color w:val="000000"/>
                <w:sz w:val="16"/>
                <w:szCs w:val="16"/>
              </w:rPr>
              <w:t>£67,426</w:t>
            </w:r>
          </w:p>
        </w:tc>
        <w:tc>
          <w:tcPr>
            <w:tcW w:w="980" w:type="dxa"/>
            <w:tcBorders>
              <w:top w:val="nil"/>
              <w:left w:val="nil"/>
              <w:bottom w:val="nil"/>
              <w:right w:val="nil"/>
            </w:tcBorders>
          </w:tcPr>
          <w:p w14:paraId="533F5B67" w14:textId="430C84AC" w:rsidR="00DD4132" w:rsidRPr="00CC7FE0" w:rsidRDefault="00DD4132" w:rsidP="00DD4132">
            <w:pPr>
              <w:pStyle w:val="TableParagraph"/>
              <w:spacing w:before="116"/>
              <w:ind w:left="118"/>
              <w:rPr>
                <w:sz w:val="16"/>
                <w:szCs w:val="16"/>
                <w:highlight w:val="lightGray"/>
              </w:rPr>
            </w:pPr>
            <w:r w:rsidRPr="002D7087">
              <w:rPr>
                <w:color w:val="000000"/>
                <w:sz w:val="16"/>
                <w:szCs w:val="16"/>
              </w:rPr>
              <w:t>£66,824</w:t>
            </w:r>
          </w:p>
        </w:tc>
        <w:tc>
          <w:tcPr>
            <w:tcW w:w="982" w:type="dxa"/>
            <w:tcBorders>
              <w:top w:val="nil"/>
              <w:left w:val="nil"/>
              <w:bottom w:val="nil"/>
              <w:right w:val="nil"/>
            </w:tcBorders>
          </w:tcPr>
          <w:p w14:paraId="533F5B68" w14:textId="524A9F56" w:rsidR="00DD4132" w:rsidRPr="00CC7FE0" w:rsidRDefault="00DD4132" w:rsidP="00DD4132">
            <w:pPr>
              <w:pStyle w:val="TableParagraph"/>
              <w:spacing w:before="116"/>
              <w:ind w:left="117"/>
              <w:rPr>
                <w:sz w:val="16"/>
                <w:szCs w:val="16"/>
                <w:highlight w:val="lightGray"/>
              </w:rPr>
            </w:pPr>
            <w:r w:rsidRPr="002D7087">
              <w:rPr>
                <w:color w:val="000000"/>
                <w:sz w:val="16"/>
                <w:szCs w:val="16"/>
              </w:rPr>
              <w:t>£602</w:t>
            </w:r>
          </w:p>
        </w:tc>
        <w:tc>
          <w:tcPr>
            <w:tcW w:w="980" w:type="dxa"/>
            <w:tcBorders>
              <w:top w:val="nil"/>
              <w:left w:val="nil"/>
              <w:bottom w:val="nil"/>
              <w:right w:val="nil"/>
            </w:tcBorders>
          </w:tcPr>
          <w:p w14:paraId="533F5B69" w14:textId="13CF92D1" w:rsidR="00DD4132" w:rsidRPr="006F1380" w:rsidRDefault="00DD4132" w:rsidP="00DD4132">
            <w:pPr>
              <w:pStyle w:val="TableParagraph"/>
              <w:spacing w:before="116"/>
              <w:ind w:left="117"/>
              <w:rPr>
                <w:sz w:val="16"/>
                <w:highlight w:val="lightGray"/>
              </w:rPr>
            </w:pPr>
            <w:r>
              <w:rPr>
                <w:color w:val="000000"/>
                <w:sz w:val="16"/>
                <w:szCs w:val="16"/>
              </w:rPr>
              <w:t>£94,926</w:t>
            </w:r>
          </w:p>
        </w:tc>
        <w:tc>
          <w:tcPr>
            <w:tcW w:w="979" w:type="dxa"/>
            <w:tcBorders>
              <w:top w:val="nil"/>
              <w:left w:val="nil"/>
              <w:bottom w:val="nil"/>
              <w:right w:val="nil"/>
            </w:tcBorders>
          </w:tcPr>
          <w:p w14:paraId="533F5B6A" w14:textId="1D4016F9" w:rsidR="00DD4132" w:rsidRPr="006F1380" w:rsidRDefault="00DD4132" w:rsidP="00DD4132">
            <w:pPr>
              <w:pStyle w:val="TableParagraph"/>
              <w:spacing w:before="116"/>
              <w:ind w:left="116"/>
              <w:rPr>
                <w:sz w:val="16"/>
                <w:highlight w:val="lightGray"/>
              </w:rPr>
            </w:pPr>
            <w:r>
              <w:rPr>
                <w:color w:val="000000"/>
                <w:sz w:val="16"/>
                <w:szCs w:val="16"/>
              </w:rPr>
              <w:t>£90,893</w:t>
            </w:r>
          </w:p>
        </w:tc>
        <w:tc>
          <w:tcPr>
            <w:tcW w:w="979" w:type="dxa"/>
            <w:tcBorders>
              <w:top w:val="nil"/>
              <w:left w:val="nil"/>
              <w:bottom w:val="nil"/>
              <w:right w:val="nil"/>
            </w:tcBorders>
          </w:tcPr>
          <w:p w14:paraId="533F5B6B" w14:textId="3EBE0707" w:rsidR="00DD4132" w:rsidRPr="006F1380" w:rsidRDefault="00DD4132" w:rsidP="00DD4132">
            <w:pPr>
              <w:pStyle w:val="TableParagraph"/>
              <w:spacing w:before="116"/>
              <w:ind w:left="117"/>
              <w:rPr>
                <w:sz w:val="16"/>
                <w:highlight w:val="lightGray"/>
              </w:rPr>
            </w:pPr>
            <w:r>
              <w:rPr>
                <w:color w:val="000000"/>
                <w:sz w:val="16"/>
                <w:szCs w:val="16"/>
              </w:rPr>
              <w:t>£4,033</w:t>
            </w:r>
          </w:p>
        </w:tc>
      </w:tr>
      <w:tr w:rsidR="00DD4132" w14:paraId="533F5B77" w14:textId="77777777" w:rsidTr="002D7087">
        <w:trPr>
          <w:trHeight w:val="359"/>
        </w:trPr>
        <w:tc>
          <w:tcPr>
            <w:tcW w:w="979" w:type="dxa"/>
            <w:tcBorders>
              <w:top w:val="nil"/>
              <w:left w:val="nil"/>
              <w:bottom w:val="nil"/>
              <w:right w:val="nil"/>
            </w:tcBorders>
          </w:tcPr>
          <w:p w14:paraId="533F5B6D" w14:textId="1B2076B4" w:rsidR="00DD4132" w:rsidRPr="002D7087" w:rsidRDefault="00DD4132" w:rsidP="00DD4132">
            <w:pPr>
              <w:pStyle w:val="TableParagraph"/>
              <w:rPr>
                <w:sz w:val="16"/>
                <w:szCs w:val="16"/>
              </w:rPr>
            </w:pPr>
            <w:r w:rsidRPr="002D7087">
              <w:rPr>
                <w:color w:val="000000"/>
                <w:sz w:val="16"/>
                <w:szCs w:val="16"/>
              </w:rPr>
              <w:t>42</w:t>
            </w:r>
          </w:p>
        </w:tc>
        <w:tc>
          <w:tcPr>
            <w:tcW w:w="977" w:type="dxa"/>
            <w:tcBorders>
              <w:top w:val="nil"/>
              <w:left w:val="nil"/>
              <w:bottom w:val="nil"/>
              <w:right w:val="nil"/>
            </w:tcBorders>
          </w:tcPr>
          <w:p w14:paraId="533F5B6E" w14:textId="4776A517" w:rsidR="00DD4132" w:rsidRPr="006E1396" w:rsidRDefault="00DD4132" w:rsidP="00DD4132">
            <w:pPr>
              <w:pStyle w:val="TableParagraph"/>
              <w:spacing w:before="116"/>
              <w:rPr>
                <w:sz w:val="16"/>
                <w:szCs w:val="16"/>
                <w:highlight w:val="lightGray"/>
              </w:rPr>
            </w:pPr>
            <w:r w:rsidRPr="002D7087">
              <w:rPr>
                <w:color w:val="000000"/>
                <w:sz w:val="16"/>
                <w:szCs w:val="16"/>
              </w:rPr>
              <w:t>£150,912</w:t>
            </w:r>
          </w:p>
        </w:tc>
        <w:tc>
          <w:tcPr>
            <w:tcW w:w="980" w:type="dxa"/>
            <w:tcBorders>
              <w:top w:val="nil"/>
              <w:left w:val="nil"/>
              <w:bottom w:val="nil"/>
              <w:right w:val="nil"/>
            </w:tcBorders>
          </w:tcPr>
          <w:p w14:paraId="533F5B6F" w14:textId="2DA84B0F" w:rsidR="00DD4132" w:rsidRPr="006E1396" w:rsidRDefault="00DD4132" w:rsidP="00DD4132">
            <w:pPr>
              <w:pStyle w:val="TableParagraph"/>
              <w:spacing w:before="116"/>
              <w:rPr>
                <w:sz w:val="16"/>
                <w:szCs w:val="16"/>
                <w:highlight w:val="lightGray"/>
              </w:rPr>
            </w:pPr>
            <w:r w:rsidRPr="002D7087">
              <w:rPr>
                <w:color w:val="000000"/>
                <w:sz w:val="16"/>
                <w:szCs w:val="16"/>
              </w:rPr>
              <w:t>£145,706</w:t>
            </w:r>
          </w:p>
        </w:tc>
        <w:tc>
          <w:tcPr>
            <w:tcW w:w="982" w:type="dxa"/>
            <w:tcBorders>
              <w:top w:val="nil"/>
              <w:left w:val="nil"/>
              <w:bottom w:val="nil"/>
              <w:right w:val="nil"/>
            </w:tcBorders>
          </w:tcPr>
          <w:p w14:paraId="533F5B70" w14:textId="2C5440EA" w:rsidR="00DD4132" w:rsidRPr="006E1396" w:rsidRDefault="00DD4132" w:rsidP="00DD4132">
            <w:pPr>
              <w:pStyle w:val="TableParagraph"/>
              <w:spacing w:before="116"/>
              <w:rPr>
                <w:sz w:val="16"/>
                <w:szCs w:val="16"/>
                <w:highlight w:val="lightGray"/>
              </w:rPr>
            </w:pPr>
            <w:r w:rsidRPr="002D7087">
              <w:rPr>
                <w:color w:val="000000"/>
                <w:sz w:val="16"/>
                <w:szCs w:val="16"/>
              </w:rPr>
              <w:t>£5,206</w:t>
            </w:r>
          </w:p>
        </w:tc>
        <w:tc>
          <w:tcPr>
            <w:tcW w:w="978" w:type="dxa"/>
            <w:tcBorders>
              <w:top w:val="nil"/>
              <w:left w:val="nil"/>
              <w:bottom w:val="nil"/>
              <w:right w:val="nil"/>
            </w:tcBorders>
          </w:tcPr>
          <w:p w14:paraId="533F5B71" w14:textId="374B08E8" w:rsidR="00DD4132" w:rsidRPr="00CC7FE0" w:rsidRDefault="00DD4132" w:rsidP="00DD4132">
            <w:pPr>
              <w:pStyle w:val="TableParagraph"/>
              <w:spacing w:before="116"/>
              <w:rPr>
                <w:sz w:val="16"/>
                <w:szCs w:val="16"/>
                <w:highlight w:val="lightGray"/>
              </w:rPr>
            </w:pPr>
            <w:r w:rsidRPr="002D7087">
              <w:rPr>
                <w:color w:val="000000"/>
                <w:sz w:val="16"/>
                <w:szCs w:val="16"/>
              </w:rPr>
              <w:t>£98,251</w:t>
            </w:r>
          </w:p>
        </w:tc>
        <w:tc>
          <w:tcPr>
            <w:tcW w:w="980" w:type="dxa"/>
            <w:tcBorders>
              <w:top w:val="nil"/>
              <w:left w:val="nil"/>
              <w:bottom w:val="nil"/>
              <w:right w:val="nil"/>
            </w:tcBorders>
          </w:tcPr>
          <w:p w14:paraId="533F5B72" w14:textId="54A17316" w:rsidR="00DD4132" w:rsidRPr="00CC7FE0" w:rsidRDefault="00DD4132" w:rsidP="00DD4132">
            <w:pPr>
              <w:pStyle w:val="TableParagraph"/>
              <w:spacing w:before="116"/>
              <w:ind w:left="118"/>
              <w:rPr>
                <w:sz w:val="16"/>
                <w:szCs w:val="16"/>
                <w:highlight w:val="lightGray"/>
              </w:rPr>
            </w:pPr>
            <w:r w:rsidRPr="002D7087">
              <w:rPr>
                <w:color w:val="000000"/>
                <w:sz w:val="16"/>
                <w:szCs w:val="16"/>
              </w:rPr>
              <w:t>£96,627</w:t>
            </w:r>
          </w:p>
        </w:tc>
        <w:tc>
          <w:tcPr>
            <w:tcW w:w="982" w:type="dxa"/>
            <w:tcBorders>
              <w:top w:val="nil"/>
              <w:left w:val="nil"/>
              <w:bottom w:val="nil"/>
              <w:right w:val="nil"/>
            </w:tcBorders>
          </w:tcPr>
          <w:p w14:paraId="533F5B73" w14:textId="50C905C8" w:rsidR="00DD4132" w:rsidRPr="00CC7FE0" w:rsidRDefault="00DD4132" w:rsidP="00DD4132">
            <w:pPr>
              <w:pStyle w:val="TableParagraph"/>
              <w:spacing w:before="116"/>
              <w:ind w:left="117"/>
              <w:rPr>
                <w:sz w:val="16"/>
                <w:szCs w:val="16"/>
                <w:highlight w:val="lightGray"/>
              </w:rPr>
            </w:pPr>
            <w:r w:rsidRPr="002D7087">
              <w:rPr>
                <w:color w:val="000000"/>
                <w:sz w:val="16"/>
                <w:szCs w:val="16"/>
              </w:rPr>
              <w:t>£1,624</w:t>
            </w:r>
          </w:p>
        </w:tc>
        <w:tc>
          <w:tcPr>
            <w:tcW w:w="980" w:type="dxa"/>
            <w:tcBorders>
              <w:top w:val="nil"/>
              <w:left w:val="nil"/>
              <w:bottom w:val="nil"/>
              <w:right w:val="nil"/>
            </w:tcBorders>
          </w:tcPr>
          <w:p w14:paraId="533F5B74" w14:textId="4AEFADFC" w:rsidR="00DD4132" w:rsidRPr="006F1380" w:rsidRDefault="00DD4132" w:rsidP="00DD4132">
            <w:pPr>
              <w:pStyle w:val="TableParagraph"/>
              <w:spacing w:before="116"/>
              <w:ind w:left="117"/>
              <w:rPr>
                <w:sz w:val="16"/>
                <w:highlight w:val="lightGray"/>
              </w:rPr>
            </w:pPr>
            <w:r>
              <w:rPr>
                <w:color w:val="000000"/>
                <w:sz w:val="16"/>
                <w:szCs w:val="16"/>
              </w:rPr>
              <w:t>£189,967</w:t>
            </w:r>
          </w:p>
        </w:tc>
        <w:tc>
          <w:tcPr>
            <w:tcW w:w="979" w:type="dxa"/>
            <w:tcBorders>
              <w:top w:val="nil"/>
              <w:left w:val="nil"/>
              <w:bottom w:val="nil"/>
              <w:right w:val="nil"/>
            </w:tcBorders>
          </w:tcPr>
          <w:p w14:paraId="533F5B75" w14:textId="67F27EB3" w:rsidR="00DD4132" w:rsidRPr="006F1380" w:rsidRDefault="00DD4132" w:rsidP="00DD4132">
            <w:pPr>
              <w:pStyle w:val="TableParagraph"/>
              <w:spacing w:before="116"/>
              <w:ind w:left="116"/>
              <w:rPr>
                <w:sz w:val="16"/>
                <w:highlight w:val="lightGray"/>
              </w:rPr>
            </w:pPr>
            <w:r>
              <w:rPr>
                <w:color w:val="000000"/>
                <w:sz w:val="16"/>
                <w:szCs w:val="16"/>
              </w:rPr>
              <w:t>£174,338</w:t>
            </w:r>
          </w:p>
        </w:tc>
        <w:tc>
          <w:tcPr>
            <w:tcW w:w="979" w:type="dxa"/>
            <w:tcBorders>
              <w:top w:val="nil"/>
              <w:left w:val="nil"/>
              <w:bottom w:val="nil"/>
              <w:right w:val="nil"/>
            </w:tcBorders>
          </w:tcPr>
          <w:p w14:paraId="533F5B76" w14:textId="5CF39748" w:rsidR="00DD4132" w:rsidRPr="006F1380" w:rsidRDefault="00DD4132" w:rsidP="00DD4132">
            <w:pPr>
              <w:pStyle w:val="TableParagraph"/>
              <w:spacing w:before="116"/>
              <w:ind w:left="117"/>
              <w:rPr>
                <w:sz w:val="16"/>
                <w:highlight w:val="lightGray"/>
              </w:rPr>
            </w:pPr>
            <w:r>
              <w:rPr>
                <w:color w:val="000000"/>
                <w:sz w:val="16"/>
                <w:szCs w:val="16"/>
              </w:rPr>
              <w:t>£15,629</w:t>
            </w:r>
          </w:p>
        </w:tc>
      </w:tr>
      <w:tr w:rsidR="00DD4132" w14:paraId="533F5B82" w14:textId="77777777" w:rsidTr="002D7087">
        <w:trPr>
          <w:trHeight w:val="359"/>
        </w:trPr>
        <w:tc>
          <w:tcPr>
            <w:tcW w:w="979" w:type="dxa"/>
            <w:tcBorders>
              <w:top w:val="nil"/>
              <w:left w:val="nil"/>
              <w:bottom w:val="nil"/>
              <w:right w:val="nil"/>
            </w:tcBorders>
          </w:tcPr>
          <w:p w14:paraId="533F5B78" w14:textId="07FF8179" w:rsidR="00DD4132" w:rsidRPr="002D7087" w:rsidRDefault="00DD4132" w:rsidP="00DD4132">
            <w:pPr>
              <w:pStyle w:val="TableParagraph"/>
              <w:rPr>
                <w:sz w:val="16"/>
                <w:szCs w:val="16"/>
              </w:rPr>
            </w:pPr>
            <w:r w:rsidRPr="002D7087">
              <w:rPr>
                <w:color w:val="000000"/>
                <w:sz w:val="16"/>
                <w:szCs w:val="16"/>
              </w:rPr>
              <w:t>52</w:t>
            </w:r>
          </w:p>
        </w:tc>
        <w:tc>
          <w:tcPr>
            <w:tcW w:w="977" w:type="dxa"/>
            <w:tcBorders>
              <w:top w:val="nil"/>
              <w:left w:val="nil"/>
              <w:bottom w:val="nil"/>
              <w:right w:val="nil"/>
            </w:tcBorders>
          </w:tcPr>
          <w:p w14:paraId="533F5B79" w14:textId="7016AA0A" w:rsidR="00DD4132" w:rsidRPr="006E1396" w:rsidRDefault="00DD4132" w:rsidP="00DD4132">
            <w:pPr>
              <w:pStyle w:val="TableParagraph"/>
              <w:spacing w:before="116"/>
              <w:rPr>
                <w:sz w:val="16"/>
                <w:szCs w:val="16"/>
                <w:highlight w:val="lightGray"/>
              </w:rPr>
            </w:pPr>
            <w:r w:rsidRPr="002D7087">
              <w:rPr>
                <w:color w:val="000000"/>
                <w:sz w:val="16"/>
                <w:szCs w:val="16"/>
              </w:rPr>
              <w:t>£229,113</w:t>
            </w:r>
          </w:p>
        </w:tc>
        <w:tc>
          <w:tcPr>
            <w:tcW w:w="980" w:type="dxa"/>
            <w:tcBorders>
              <w:top w:val="nil"/>
              <w:left w:val="nil"/>
              <w:bottom w:val="nil"/>
              <w:right w:val="nil"/>
            </w:tcBorders>
          </w:tcPr>
          <w:p w14:paraId="533F5B7A" w14:textId="30862C7B" w:rsidR="00DD4132" w:rsidRPr="006E1396" w:rsidRDefault="00DD4132" w:rsidP="00DD4132">
            <w:pPr>
              <w:pStyle w:val="TableParagraph"/>
              <w:spacing w:before="116"/>
              <w:rPr>
                <w:sz w:val="16"/>
                <w:szCs w:val="16"/>
                <w:highlight w:val="lightGray"/>
              </w:rPr>
            </w:pPr>
            <w:r w:rsidRPr="002D7087">
              <w:rPr>
                <w:color w:val="000000"/>
                <w:sz w:val="16"/>
                <w:szCs w:val="16"/>
              </w:rPr>
              <w:t>£217,159</w:t>
            </w:r>
          </w:p>
        </w:tc>
        <w:tc>
          <w:tcPr>
            <w:tcW w:w="982" w:type="dxa"/>
            <w:tcBorders>
              <w:top w:val="nil"/>
              <w:left w:val="nil"/>
              <w:bottom w:val="nil"/>
              <w:right w:val="nil"/>
            </w:tcBorders>
          </w:tcPr>
          <w:p w14:paraId="533F5B7B" w14:textId="2665456C" w:rsidR="00DD4132" w:rsidRPr="006E1396" w:rsidRDefault="00DD4132" w:rsidP="00DD4132">
            <w:pPr>
              <w:pStyle w:val="TableParagraph"/>
              <w:spacing w:before="116"/>
              <w:rPr>
                <w:sz w:val="16"/>
                <w:szCs w:val="16"/>
                <w:highlight w:val="lightGray"/>
              </w:rPr>
            </w:pPr>
            <w:r w:rsidRPr="002D7087">
              <w:rPr>
                <w:color w:val="000000"/>
                <w:sz w:val="16"/>
                <w:szCs w:val="16"/>
              </w:rPr>
              <w:t>£11,954</w:t>
            </w:r>
          </w:p>
        </w:tc>
        <w:tc>
          <w:tcPr>
            <w:tcW w:w="978" w:type="dxa"/>
            <w:tcBorders>
              <w:top w:val="nil"/>
              <w:left w:val="nil"/>
              <w:bottom w:val="nil"/>
              <w:right w:val="nil"/>
            </w:tcBorders>
          </w:tcPr>
          <w:p w14:paraId="533F5B7C" w14:textId="162518CD" w:rsidR="00DD4132" w:rsidRPr="00CC7FE0" w:rsidRDefault="00DD4132" w:rsidP="00DD4132">
            <w:pPr>
              <w:pStyle w:val="TableParagraph"/>
              <w:spacing w:before="116"/>
              <w:rPr>
                <w:sz w:val="16"/>
                <w:szCs w:val="16"/>
                <w:highlight w:val="lightGray"/>
              </w:rPr>
            </w:pPr>
            <w:r w:rsidRPr="002D7087">
              <w:rPr>
                <w:color w:val="000000"/>
                <w:sz w:val="16"/>
                <w:szCs w:val="16"/>
              </w:rPr>
              <w:t>£120,156</w:t>
            </w:r>
          </w:p>
        </w:tc>
        <w:tc>
          <w:tcPr>
            <w:tcW w:w="980" w:type="dxa"/>
            <w:tcBorders>
              <w:top w:val="nil"/>
              <w:left w:val="nil"/>
              <w:bottom w:val="nil"/>
              <w:right w:val="nil"/>
            </w:tcBorders>
          </w:tcPr>
          <w:p w14:paraId="533F5B7D" w14:textId="28353EC6" w:rsidR="00DD4132" w:rsidRPr="00CC7FE0" w:rsidRDefault="00DD4132" w:rsidP="00DD4132">
            <w:pPr>
              <w:pStyle w:val="TableParagraph"/>
              <w:spacing w:before="116"/>
              <w:ind w:left="118"/>
              <w:rPr>
                <w:sz w:val="16"/>
                <w:szCs w:val="16"/>
                <w:highlight w:val="lightGray"/>
              </w:rPr>
            </w:pPr>
            <w:r w:rsidRPr="002D7087">
              <w:rPr>
                <w:color w:val="000000"/>
                <w:sz w:val="16"/>
                <w:szCs w:val="16"/>
              </w:rPr>
              <w:t>£117,241</w:t>
            </w:r>
          </w:p>
        </w:tc>
        <w:tc>
          <w:tcPr>
            <w:tcW w:w="982" w:type="dxa"/>
            <w:tcBorders>
              <w:top w:val="nil"/>
              <w:left w:val="nil"/>
              <w:bottom w:val="nil"/>
              <w:right w:val="nil"/>
            </w:tcBorders>
          </w:tcPr>
          <w:p w14:paraId="533F5B7E" w14:textId="1DB604A7" w:rsidR="00DD4132" w:rsidRPr="00CC7FE0" w:rsidRDefault="00DD4132" w:rsidP="00DD4132">
            <w:pPr>
              <w:pStyle w:val="TableParagraph"/>
              <w:spacing w:before="116"/>
              <w:ind w:left="117"/>
              <w:rPr>
                <w:sz w:val="16"/>
                <w:szCs w:val="16"/>
                <w:highlight w:val="lightGray"/>
              </w:rPr>
            </w:pPr>
            <w:r w:rsidRPr="002D7087">
              <w:rPr>
                <w:color w:val="000000"/>
                <w:sz w:val="16"/>
                <w:szCs w:val="16"/>
              </w:rPr>
              <w:t>£2,915</w:t>
            </w:r>
          </w:p>
        </w:tc>
        <w:tc>
          <w:tcPr>
            <w:tcW w:w="980" w:type="dxa"/>
            <w:tcBorders>
              <w:top w:val="nil"/>
              <w:left w:val="nil"/>
              <w:bottom w:val="nil"/>
              <w:right w:val="nil"/>
            </w:tcBorders>
          </w:tcPr>
          <w:p w14:paraId="533F5B7F" w14:textId="6ADD4286" w:rsidR="00DD4132" w:rsidRPr="006F1380" w:rsidRDefault="00DD4132" w:rsidP="00DD4132">
            <w:pPr>
              <w:pStyle w:val="TableParagraph"/>
              <w:spacing w:before="116"/>
              <w:ind w:left="117"/>
              <w:rPr>
                <w:sz w:val="16"/>
                <w:highlight w:val="lightGray"/>
              </w:rPr>
            </w:pPr>
            <w:r>
              <w:rPr>
                <w:color w:val="000000"/>
                <w:sz w:val="16"/>
                <w:szCs w:val="16"/>
              </w:rPr>
              <w:t>£326,373</w:t>
            </w:r>
          </w:p>
        </w:tc>
        <w:tc>
          <w:tcPr>
            <w:tcW w:w="979" w:type="dxa"/>
            <w:tcBorders>
              <w:top w:val="nil"/>
              <w:left w:val="nil"/>
              <w:bottom w:val="nil"/>
              <w:right w:val="nil"/>
            </w:tcBorders>
          </w:tcPr>
          <w:p w14:paraId="533F5B80" w14:textId="454DEFF0" w:rsidR="00DD4132" w:rsidRPr="006F1380" w:rsidRDefault="00DD4132" w:rsidP="00DD4132">
            <w:pPr>
              <w:pStyle w:val="TableParagraph"/>
              <w:spacing w:before="116"/>
              <w:ind w:left="116"/>
              <w:rPr>
                <w:sz w:val="16"/>
                <w:highlight w:val="lightGray"/>
              </w:rPr>
            </w:pPr>
            <w:r>
              <w:rPr>
                <w:color w:val="000000"/>
                <w:sz w:val="16"/>
                <w:szCs w:val="16"/>
              </w:rPr>
              <w:t>£285,887</w:t>
            </w:r>
          </w:p>
        </w:tc>
        <w:tc>
          <w:tcPr>
            <w:tcW w:w="979" w:type="dxa"/>
            <w:tcBorders>
              <w:top w:val="nil"/>
              <w:left w:val="nil"/>
              <w:bottom w:val="nil"/>
              <w:right w:val="nil"/>
            </w:tcBorders>
          </w:tcPr>
          <w:p w14:paraId="533F5B81" w14:textId="59FA9B55" w:rsidR="00DD4132" w:rsidRPr="006F1380" w:rsidRDefault="00DD4132" w:rsidP="00DD4132">
            <w:pPr>
              <w:pStyle w:val="TableParagraph"/>
              <w:spacing w:before="116"/>
              <w:ind w:left="117"/>
              <w:rPr>
                <w:sz w:val="16"/>
                <w:highlight w:val="lightGray"/>
              </w:rPr>
            </w:pPr>
            <w:r>
              <w:rPr>
                <w:color w:val="000000"/>
                <w:sz w:val="16"/>
                <w:szCs w:val="16"/>
              </w:rPr>
              <w:t>£40,486</w:t>
            </w:r>
          </w:p>
        </w:tc>
      </w:tr>
      <w:tr w:rsidR="00DD4132" w14:paraId="533F5B8D" w14:textId="77777777" w:rsidTr="002D7087">
        <w:trPr>
          <w:trHeight w:val="362"/>
        </w:trPr>
        <w:tc>
          <w:tcPr>
            <w:tcW w:w="979" w:type="dxa"/>
            <w:tcBorders>
              <w:top w:val="nil"/>
              <w:left w:val="nil"/>
              <w:bottom w:val="nil"/>
              <w:right w:val="nil"/>
            </w:tcBorders>
          </w:tcPr>
          <w:p w14:paraId="533F5B83" w14:textId="7E260137" w:rsidR="00DD4132" w:rsidRPr="002D7087" w:rsidRDefault="00DD4132" w:rsidP="00DD4132">
            <w:pPr>
              <w:pStyle w:val="TableParagraph"/>
              <w:spacing w:before="95"/>
              <w:rPr>
                <w:sz w:val="16"/>
                <w:szCs w:val="16"/>
              </w:rPr>
            </w:pPr>
            <w:r w:rsidRPr="002D7087">
              <w:rPr>
                <w:color w:val="000000"/>
                <w:sz w:val="16"/>
                <w:szCs w:val="16"/>
              </w:rPr>
              <w:t>62</w:t>
            </w:r>
          </w:p>
        </w:tc>
        <w:tc>
          <w:tcPr>
            <w:tcW w:w="977" w:type="dxa"/>
            <w:tcBorders>
              <w:top w:val="nil"/>
              <w:left w:val="nil"/>
              <w:bottom w:val="nil"/>
              <w:right w:val="nil"/>
            </w:tcBorders>
          </w:tcPr>
          <w:p w14:paraId="533F5B84" w14:textId="1309860E" w:rsidR="00DD4132" w:rsidRPr="006E1396" w:rsidRDefault="00DD4132" w:rsidP="00DD4132">
            <w:pPr>
              <w:pStyle w:val="TableParagraph"/>
              <w:spacing w:before="119"/>
              <w:rPr>
                <w:sz w:val="16"/>
                <w:szCs w:val="16"/>
                <w:highlight w:val="lightGray"/>
              </w:rPr>
            </w:pPr>
            <w:r w:rsidRPr="002D7087">
              <w:rPr>
                <w:color w:val="000000"/>
                <w:sz w:val="16"/>
                <w:szCs w:val="16"/>
              </w:rPr>
              <w:t>£314,864</w:t>
            </w:r>
          </w:p>
        </w:tc>
        <w:tc>
          <w:tcPr>
            <w:tcW w:w="980" w:type="dxa"/>
            <w:tcBorders>
              <w:top w:val="nil"/>
              <w:left w:val="nil"/>
              <w:bottom w:val="nil"/>
              <w:right w:val="nil"/>
            </w:tcBorders>
          </w:tcPr>
          <w:p w14:paraId="533F5B85" w14:textId="6F68904A" w:rsidR="00DD4132" w:rsidRPr="006E1396" w:rsidRDefault="00DD4132" w:rsidP="00DD4132">
            <w:pPr>
              <w:pStyle w:val="TableParagraph"/>
              <w:spacing w:before="119"/>
              <w:rPr>
                <w:sz w:val="16"/>
                <w:szCs w:val="16"/>
                <w:highlight w:val="lightGray"/>
              </w:rPr>
            </w:pPr>
            <w:r w:rsidRPr="002D7087">
              <w:rPr>
                <w:color w:val="000000"/>
                <w:sz w:val="16"/>
                <w:szCs w:val="16"/>
              </w:rPr>
              <w:t>£292,560</w:t>
            </w:r>
          </w:p>
        </w:tc>
        <w:tc>
          <w:tcPr>
            <w:tcW w:w="982" w:type="dxa"/>
            <w:tcBorders>
              <w:top w:val="nil"/>
              <w:left w:val="nil"/>
              <w:bottom w:val="nil"/>
              <w:right w:val="nil"/>
            </w:tcBorders>
          </w:tcPr>
          <w:p w14:paraId="533F5B86" w14:textId="1974527C" w:rsidR="00DD4132" w:rsidRPr="006E1396" w:rsidRDefault="00DD4132" w:rsidP="00DD4132">
            <w:pPr>
              <w:pStyle w:val="TableParagraph"/>
              <w:spacing w:before="119"/>
              <w:rPr>
                <w:sz w:val="16"/>
                <w:szCs w:val="16"/>
                <w:highlight w:val="lightGray"/>
              </w:rPr>
            </w:pPr>
            <w:r w:rsidRPr="002D7087">
              <w:rPr>
                <w:color w:val="000000"/>
                <w:sz w:val="16"/>
                <w:szCs w:val="16"/>
              </w:rPr>
              <w:t>£22,304</w:t>
            </w:r>
          </w:p>
        </w:tc>
        <w:tc>
          <w:tcPr>
            <w:tcW w:w="978" w:type="dxa"/>
            <w:tcBorders>
              <w:top w:val="nil"/>
              <w:left w:val="nil"/>
              <w:bottom w:val="nil"/>
              <w:right w:val="nil"/>
            </w:tcBorders>
          </w:tcPr>
          <w:p w14:paraId="533F5B87" w14:textId="1E8D0C3B" w:rsidR="00DD4132" w:rsidRPr="00CC7FE0" w:rsidRDefault="00DD4132" w:rsidP="00DD4132">
            <w:pPr>
              <w:pStyle w:val="TableParagraph"/>
              <w:spacing w:before="119"/>
              <w:rPr>
                <w:sz w:val="16"/>
                <w:szCs w:val="16"/>
                <w:highlight w:val="lightGray"/>
              </w:rPr>
            </w:pPr>
            <w:r w:rsidRPr="002D7087">
              <w:rPr>
                <w:color w:val="000000"/>
                <w:sz w:val="16"/>
                <w:szCs w:val="16"/>
              </w:rPr>
              <w:t>£135,197</w:t>
            </w:r>
          </w:p>
        </w:tc>
        <w:tc>
          <w:tcPr>
            <w:tcW w:w="980" w:type="dxa"/>
            <w:tcBorders>
              <w:top w:val="nil"/>
              <w:left w:val="nil"/>
              <w:bottom w:val="nil"/>
              <w:right w:val="nil"/>
            </w:tcBorders>
          </w:tcPr>
          <w:p w14:paraId="533F5B88" w14:textId="241AFB38" w:rsidR="00DD4132" w:rsidRPr="00CC7FE0" w:rsidRDefault="00DD4132" w:rsidP="00DD4132">
            <w:pPr>
              <w:pStyle w:val="TableParagraph"/>
              <w:spacing w:before="119"/>
              <w:ind w:left="118"/>
              <w:rPr>
                <w:sz w:val="16"/>
                <w:szCs w:val="16"/>
                <w:highlight w:val="lightGray"/>
              </w:rPr>
            </w:pPr>
            <w:r w:rsidRPr="002D7087">
              <w:rPr>
                <w:color w:val="000000"/>
                <w:sz w:val="16"/>
                <w:szCs w:val="16"/>
              </w:rPr>
              <w:t>£130,839</w:t>
            </w:r>
          </w:p>
        </w:tc>
        <w:tc>
          <w:tcPr>
            <w:tcW w:w="982" w:type="dxa"/>
            <w:tcBorders>
              <w:top w:val="nil"/>
              <w:left w:val="nil"/>
              <w:bottom w:val="nil"/>
              <w:right w:val="nil"/>
            </w:tcBorders>
          </w:tcPr>
          <w:p w14:paraId="533F5B89" w14:textId="3A244745" w:rsidR="00DD4132" w:rsidRPr="00CC7FE0" w:rsidRDefault="00DD4132" w:rsidP="00DD4132">
            <w:pPr>
              <w:pStyle w:val="TableParagraph"/>
              <w:spacing w:before="119"/>
              <w:ind w:left="117"/>
              <w:rPr>
                <w:sz w:val="16"/>
                <w:szCs w:val="16"/>
                <w:highlight w:val="lightGray"/>
              </w:rPr>
            </w:pPr>
            <w:r w:rsidRPr="002D7087">
              <w:rPr>
                <w:color w:val="000000"/>
                <w:sz w:val="16"/>
                <w:szCs w:val="16"/>
              </w:rPr>
              <w:t>£4,358</w:t>
            </w:r>
          </w:p>
        </w:tc>
        <w:tc>
          <w:tcPr>
            <w:tcW w:w="980" w:type="dxa"/>
            <w:tcBorders>
              <w:top w:val="nil"/>
              <w:left w:val="nil"/>
              <w:bottom w:val="nil"/>
              <w:right w:val="nil"/>
            </w:tcBorders>
          </w:tcPr>
          <w:p w14:paraId="533F5B8A" w14:textId="1CCEF730" w:rsidR="00DD4132" w:rsidRPr="006F1380" w:rsidRDefault="00DD4132" w:rsidP="00DD4132">
            <w:pPr>
              <w:pStyle w:val="TableParagraph"/>
              <w:spacing w:before="119"/>
              <w:ind w:left="117"/>
              <w:rPr>
                <w:sz w:val="16"/>
                <w:highlight w:val="lightGray"/>
              </w:rPr>
            </w:pPr>
            <w:r>
              <w:rPr>
                <w:color w:val="000000"/>
                <w:sz w:val="16"/>
                <w:szCs w:val="16"/>
              </w:rPr>
              <w:t>£528,456</w:t>
            </w:r>
          </w:p>
        </w:tc>
        <w:tc>
          <w:tcPr>
            <w:tcW w:w="979" w:type="dxa"/>
            <w:tcBorders>
              <w:top w:val="nil"/>
              <w:left w:val="nil"/>
              <w:bottom w:val="nil"/>
              <w:right w:val="nil"/>
            </w:tcBorders>
          </w:tcPr>
          <w:p w14:paraId="533F5B8B" w14:textId="4AEDAD1A" w:rsidR="00DD4132" w:rsidRPr="006F1380" w:rsidRDefault="00DD4132" w:rsidP="00DD4132">
            <w:pPr>
              <w:pStyle w:val="TableParagraph"/>
              <w:spacing w:before="119"/>
              <w:ind w:left="116"/>
              <w:rPr>
                <w:sz w:val="16"/>
                <w:highlight w:val="lightGray"/>
              </w:rPr>
            </w:pPr>
            <w:r>
              <w:rPr>
                <w:color w:val="000000"/>
                <w:sz w:val="16"/>
                <w:szCs w:val="16"/>
              </w:rPr>
              <w:t>£440,193</w:t>
            </w:r>
          </w:p>
        </w:tc>
        <w:tc>
          <w:tcPr>
            <w:tcW w:w="979" w:type="dxa"/>
            <w:tcBorders>
              <w:top w:val="nil"/>
              <w:left w:val="nil"/>
              <w:bottom w:val="nil"/>
              <w:right w:val="nil"/>
            </w:tcBorders>
          </w:tcPr>
          <w:p w14:paraId="533F5B8C" w14:textId="1B168EEC" w:rsidR="00DD4132" w:rsidRPr="006F1380" w:rsidRDefault="00DD4132" w:rsidP="00DD4132">
            <w:pPr>
              <w:pStyle w:val="TableParagraph"/>
              <w:spacing w:before="119"/>
              <w:ind w:left="117"/>
              <w:rPr>
                <w:sz w:val="16"/>
                <w:highlight w:val="lightGray"/>
              </w:rPr>
            </w:pPr>
            <w:r>
              <w:rPr>
                <w:color w:val="000000"/>
                <w:sz w:val="16"/>
                <w:szCs w:val="16"/>
              </w:rPr>
              <w:t>£88,263</w:t>
            </w:r>
          </w:p>
        </w:tc>
      </w:tr>
      <w:tr w:rsidR="00DD4132" w14:paraId="533F5B98" w14:textId="77777777" w:rsidTr="002D7087">
        <w:trPr>
          <w:trHeight w:val="359"/>
        </w:trPr>
        <w:tc>
          <w:tcPr>
            <w:tcW w:w="979" w:type="dxa"/>
            <w:tcBorders>
              <w:top w:val="nil"/>
              <w:left w:val="nil"/>
              <w:bottom w:val="nil"/>
              <w:right w:val="nil"/>
            </w:tcBorders>
          </w:tcPr>
          <w:p w14:paraId="533F5B8E" w14:textId="4B75AA5B" w:rsidR="00DD4132" w:rsidRPr="002D7087" w:rsidRDefault="00DD4132" w:rsidP="00DD4132">
            <w:pPr>
              <w:pStyle w:val="TableParagraph"/>
              <w:rPr>
                <w:sz w:val="16"/>
                <w:szCs w:val="16"/>
              </w:rPr>
            </w:pPr>
            <w:r w:rsidRPr="002D7087">
              <w:rPr>
                <w:color w:val="000000"/>
                <w:sz w:val="16"/>
                <w:szCs w:val="16"/>
              </w:rPr>
              <w:t>65</w:t>
            </w:r>
          </w:p>
        </w:tc>
        <w:tc>
          <w:tcPr>
            <w:tcW w:w="977" w:type="dxa"/>
            <w:tcBorders>
              <w:top w:val="nil"/>
              <w:left w:val="nil"/>
              <w:bottom w:val="nil"/>
              <w:right w:val="nil"/>
            </w:tcBorders>
          </w:tcPr>
          <w:p w14:paraId="533F5B8F" w14:textId="7C154EDB" w:rsidR="00DD4132" w:rsidRPr="006E1396" w:rsidRDefault="00DD4132" w:rsidP="00DD4132">
            <w:pPr>
              <w:pStyle w:val="TableParagraph"/>
              <w:spacing w:before="116"/>
              <w:rPr>
                <w:sz w:val="16"/>
                <w:szCs w:val="16"/>
                <w:highlight w:val="lightGray"/>
              </w:rPr>
            </w:pPr>
            <w:r w:rsidRPr="002D7087">
              <w:rPr>
                <w:color w:val="000000"/>
                <w:sz w:val="16"/>
                <w:szCs w:val="16"/>
              </w:rPr>
              <w:t>£337,164</w:t>
            </w:r>
          </w:p>
        </w:tc>
        <w:tc>
          <w:tcPr>
            <w:tcW w:w="980" w:type="dxa"/>
            <w:tcBorders>
              <w:top w:val="nil"/>
              <w:left w:val="nil"/>
              <w:bottom w:val="nil"/>
              <w:right w:val="nil"/>
            </w:tcBorders>
          </w:tcPr>
          <w:p w14:paraId="533F5B90" w14:textId="587F13AE" w:rsidR="00DD4132" w:rsidRPr="006E1396" w:rsidRDefault="00DD4132" w:rsidP="00DD4132">
            <w:pPr>
              <w:pStyle w:val="TableParagraph"/>
              <w:spacing w:before="116"/>
              <w:rPr>
                <w:sz w:val="16"/>
                <w:szCs w:val="16"/>
                <w:highlight w:val="lightGray"/>
              </w:rPr>
            </w:pPr>
            <w:r w:rsidRPr="002D7087">
              <w:rPr>
                <w:color w:val="000000"/>
                <w:sz w:val="16"/>
                <w:szCs w:val="16"/>
              </w:rPr>
              <w:t>£311,351</w:t>
            </w:r>
          </w:p>
        </w:tc>
        <w:tc>
          <w:tcPr>
            <w:tcW w:w="982" w:type="dxa"/>
            <w:tcBorders>
              <w:top w:val="nil"/>
              <w:left w:val="nil"/>
              <w:bottom w:val="nil"/>
              <w:right w:val="nil"/>
            </w:tcBorders>
          </w:tcPr>
          <w:p w14:paraId="533F5B91" w14:textId="1E22D840" w:rsidR="00DD4132" w:rsidRPr="006E1396" w:rsidRDefault="00DD4132" w:rsidP="00DD4132">
            <w:pPr>
              <w:pStyle w:val="TableParagraph"/>
              <w:spacing w:before="116"/>
              <w:rPr>
                <w:sz w:val="16"/>
                <w:szCs w:val="16"/>
                <w:highlight w:val="lightGray"/>
              </w:rPr>
            </w:pPr>
            <w:r w:rsidRPr="002D7087">
              <w:rPr>
                <w:color w:val="000000"/>
                <w:sz w:val="16"/>
                <w:szCs w:val="16"/>
              </w:rPr>
              <w:t>£25,813</w:t>
            </w:r>
          </w:p>
        </w:tc>
        <w:tc>
          <w:tcPr>
            <w:tcW w:w="978" w:type="dxa"/>
            <w:tcBorders>
              <w:top w:val="nil"/>
              <w:left w:val="nil"/>
              <w:bottom w:val="nil"/>
              <w:right w:val="nil"/>
            </w:tcBorders>
          </w:tcPr>
          <w:p w14:paraId="533F5B92" w14:textId="39CEC127" w:rsidR="00DD4132" w:rsidRPr="00CC7FE0" w:rsidRDefault="00DD4132" w:rsidP="00DD4132">
            <w:pPr>
              <w:pStyle w:val="TableParagraph"/>
              <w:spacing w:before="116"/>
              <w:rPr>
                <w:sz w:val="16"/>
                <w:szCs w:val="16"/>
                <w:highlight w:val="lightGray"/>
              </w:rPr>
            </w:pPr>
            <w:r w:rsidRPr="002D7087">
              <w:rPr>
                <w:color w:val="000000"/>
                <w:sz w:val="16"/>
                <w:szCs w:val="16"/>
              </w:rPr>
              <w:t>£138,620</w:t>
            </w:r>
          </w:p>
        </w:tc>
        <w:tc>
          <w:tcPr>
            <w:tcW w:w="980" w:type="dxa"/>
            <w:tcBorders>
              <w:top w:val="nil"/>
              <w:left w:val="nil"/>
              <w:bottom w:val="nil"/>
              <w:right w:val="nil"/>
            </w:tcBorders>
          </w:tcPr>
          <w:p w14:paraId="533F5B93" w14:textId="4BD4CDF5" w:rsidR="00DD4132" w:rsidRPr="00CC7FE0" w:rsidRDefault="00DD4132" w:rsidP="00DD4132">
            <w:pPr>
              <w:pStyle w:val="TableParagraph"/>
              <w:spacing w:before="116"/>
              <w:ind w:left="118"/>
              <w:rPr>
                <w:sz w:val="16"/>
                <w:szCs w:val="16"/>
                <w:highlight w:val="lightGray"/>
              </w:rPr>
            </w:pPr>
            <w:r w:rsidRPr="002D7087">
              <w:rPr>
                <w:color w:val="000000"/>
                <w:sz w:val="16"/>
                <w:szCs w:val="16"/>
              </w:rPr>
              <w:t>£133,813</w:t>
            </w:r>
          </w:p>
        </w:tc>
        <w:tc>
          <w:tcPr>
            <w:tcW w:w="982" w:type="dxa"/>
            <w:tcBorders>
              <w:top w:val="nil"/>
              <w:left w:val="nil"/>
              <w:bottom w:val="nil"/>
              <w:right w:val="nil"/>
            </w:tcBorders>
          </w:tcPr>
          <w:p w14:paraId="533F5B94" w14:textId="3DEE1336" w:rsidR="00DD4132" w:rsidRPr="00CC7FE0" w:rsidRDefault="00DD4132" w:rsidP="00DD4132">
            <w:pPr>
              <w:pStyle w:val="TableParagraph"/>
              <w:spacing w:before="116"/>
              <w:ind w:left="117"/>
              <w:rPr>
                <w:sz w:val="16"/>
                <w:szCs w:val="16"/>
                <w:highlight w:val="lightGray"/>
              </w:rPr>
            </w:pPr>
            <w:r w:rsidRPr="002D7087">
              <w:rPr>
                <w:color w:val="000000"/>
                <w:sz w:val="16"/>
                <w:szCs w:val="16"/>
              </w:rPr>
              <w:t>£4,807</w:t>
            </w:r>
          </w:p>
        </w:tc>
        <w:tc>
          <w:tcPr>
            <w:tcW w:w="980" w:type="dxa"/>
            <w:tcBorders>
              <w:top w:val="nil"/>
              <w:left w:val="nil"/>
              <w:bottom w:val="nil"/>
              <w:right w:val="nil"/>
            </w:tcBorders>
          </w:tcPr>
          <w:p w14:paraId="533F5B95" w14:textId="7163C4F9" w:rsidR="00DD4132" w:rsidRPr="006F1380" w:rsidRDefault="00DD4132" w:rsidP="00DD4132">
            <w:pPr>
              <w:pStyle w:val="TableParagraph"/>
              <w:spacing w:before="116"/>
              <w:ind w:left="117"/>
              <w:rPr>
                <w:sz w:val="16"/>
                <w:highlight w:val="lightGray"/>
              </w:rPr>
            </w:pPr>
            <w:r>
              <w:rPr>
                <w:color w:val="000000"/>
                <w:sz w:val="16"/>
                <w:szCs w:val="16"/>
              </w:rPr>
              <w:t>£606,971</w:t>
            </w:r>
          </w:p>
        </w:tc>
        <w:tc>
          <w:tcPr>
            <w:tcW w:w="979" w:type="dxa"/>
            <w:tcBorders>
              <w:top w:val="nil"/>
              <w:left w:val="nil"/>
              <w:bottom w:val="nil"/>
              <w:right w:val="nil"/>
            </w:tcBorders>
          </w:tcPr>
          <w:p w14:paraId="533F5B96" w14:textId="1B8873CE" w:rsidR="00DD4132" w:rsidRPr="006F1380" w:rsidRDefault="00DD4132" w:rsidP="00DD4132">
            <w:pPr>
              <w:pStyle w:val="TableParagraph"/>
              <w:spacing w:before="116"/>
              <w:ind w:left="116"/>
              <w:rPr>
                <w:sz w:val="16"/>
                <w:highlight w:val="lightGray"/>
              </w:rPr>
            </w:pPr>
            <w:r>
              <w:rPr>
                <w:color w:val="000000"/>
                <w:sz w:val="16"/>
                <w:szCs w:val="16"/>
              </w:rPr>
              <w:t>£497,724</w:t>
            </w:r>
          </w:p>
        </w:tc>
        <w:tc>
          <w:tcPr>
            <w:tcW w:w="979" w:type="dxa"/>
            <w:tcBorders>
              <w:top w:val="nil"/>
              <w:left w:val="nil"/>
              <w:bottom w:val="nil"/>
              <w:right w:val="nil"/>
            </w:tcBorders>
          </w:tcPr>
          <w:p w14:paraId="533F5B97" w14:textId="5CCF5650" w:rsidR="00DD4132" w:rsidRPr="006F1380" w:rsidRDefault="00DD4132" w:rsidP="00DD4132">
            <w:pPr>
              <w:pStyle w:val="TableParagraph"/>
              <w:spacing w:before="116"/>
              <w:ind w:left="117"/>
              <w:rPr>
                <w:sz w:val="16"/>
                <w:highlight w:val="lightGray"/>
              </w:rPr>
            </w:pPr>
            <w:r>
              <w:rPr>
                <w:color w:val="000000"/>
                <w:sz w:val="16"/>
                <w:szCs w:val="16"/>
              </w:rPr>
              <w:t>£109,247</w:t>
            </w:r>
          </w:p>
        </w:tc>
      </w:tr>
      <w:bookmarkEnd w:id="1"/>
    </w:tbl>
    <w:p w14:paraId="56EB05B0" w14:textId="77777777" w:rsidR="00AB3475" w:rsidRDefault="00AB3475">
      <w:pPr>
        <w:rPr>
          <w:sz w:val="16"/>
        </w:rPr>
      </w:pPr>
    </w:p>
    <w:p w14:paraId="46FE6721" w14:textId="77777777" w:rsidR="00FC1D7D" w:rsidRDefault="00FC1D7D">
      <w:pPr>
        <w:rPr>
          <w:sz w:val="16"/>
        </w:rPr>
      </w:pPr>
    </w:p>
    <w:p w14:paraId="533F5BBB" w14:textId="2997608C" w:rsidR="00344243" w:rsidRDefault="00344243">
      <w:r>
        <w:br w:type="page"/>
      </w:r>
    </w:p>
    <w:p w14:paraId="533F5BBD" w14:textId="77777777" w:rsidR="00AB3475" w:rsidRDefault="00AB3475">
      <w:pPr>
        <w:pStyle w:val="BodyText"/>
        <w:spacing w:before="24" w:after="1"/>
        <w:rPr>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977"/>
        <w:gridCol w:w="980"/>
        <w:gridCol w:w="982"/>
        <w:gridCol w:w="978"/>
        <w:gridCol w:w="980"/>
        <w:gridCol w:w="982"/>
      </w:tblGrid>
      <w:tr w:rsidR="008272B7" w14:paraId="533F5BC3" w14:textId="77777777" w:rsidTr="00CF6AE8">
        <w:trPr>
          <w:trHeight w:val="599"/>
        </w:trPr>
        <w:tc>
          <w:tcPr>
            <w:tcW w:w="979" w:type="dxa"/>
            <w:vMerge w:val="restart"/>
            <w:shd w:val="clear" w:color="auto" w:fill="CE8D95"/>
          </w:tcPr>
          <w:p w14:paraId="765570B8" w14:textId="0D817365" w:rsidR="00BB3DF5" w:rsidRDefault="00BB3DF5">
            <w:pPr>
              <w:pStyle w:val="TableParagraph"/>
              <w:rPr>
                <w:b/>
                <w:spacing w:val="-5"/>
                <w:sz w:val="18"/>
              </w:rPr>
            </w:pPr>
            <w:r>
              <w:rPr>
                <w:b/>
                <w:spacing w:val="-5"/>
                <w:sz w:val="18"/>
              </w:rPr>
              <w:t>Table 6</w:t>
            </w:r>
          </w:p>
          <w:p w14:paraId="533F5BBE" w14:textId="1096700E" w:rsidR="008272B7" w:rsidRDefault="008272B7">
            <w:pPr>
              <w:pStyle w:val="TableParagraph"/>
              <w:rPr>
                <w:b/>
                <w:sz w:val="18"/>
              </w:rPr>
            </w:pPr>
            <w:r>
              <w:rPr>
                <w:b/>
                <w:spacing w:val="-5"/>
                <w:sz w:val="18"/>
              </w:rPr>
              <w:t>Age</w:t>
            </w:r>
          </w:p>
        </w:tc>
        <w:tc>
          <w:tcPr>
            <w:tcW w:w="2939" w:type="dxa"/>
            <w:gridSpan w:val="3"/>
            <w:shd w:val="clear" w:color="auto" w:fill="CE8D95"/>
          </w:tcPr>
          <w:p w14:paraId="533F5BC0" w14:textId="364D9035" w:rsidR="008272B7" w:rsidRPr="008272B7" w:rsidRDefault="008272B7" w:rsidP="008272B7">
            <w:pPr>
              <w:pStyle w:val="TableParagraph"/>
              <w:spacing w:before="120"/>
              <w:ind w:left="11" w:right="1"/>
              <w:jc w:val="center"/>
              <w:rPr>
                <w:b/>
                <w:bCs/>
                <w:sz w:val="18"/>
                <w:szCs w:val="18"/>
              </w:rPr>
            </w:pPr>
            <w:r w:rsidRPr="008272B7">
              <w:rPr>
                <w:rFonts w:eastAsia="Times New Roman"/>
                <w:b/>
                <w:bCs/>
                <w:sz w:val="18"/>
                <w:szCs w:val="18"/>
              </w:rPr>
              <w:t>L&amp;G PMC Over 15 Year Index Linked Gilts Index 3</w:t>
            </w:r>
          </w:p>
        </w:tc>
        <w:tc>
          <w:tcPr>
            <w:tcW w:w="2940" w:type="dxa"/>
            <w:gridSpan w:val="3"/>
            <w:shd w:val="clear" w:color="auto" w:fill="CE8D95"/>
          </w:tcPr>
          <w:p w14:paraId="533F5BC1" w14:textId="3AFE3E1B" w:rsidR="008272B7" w:rsidRPr="008272B7" w:rsidRDefault="008272B7" w:rsidP="008272B7">
            <w:pPr>
              <w:pStyle w:val="TableParagraph"/>
              <w:spacing w:before="120"/>
              <w:ind w:left="680" w:right="233" w:hanging="440"/>
              <w:rPr>
                <w:b/>
                <w:bCs/>
                <w:sz w:val="18"/>
                <w:szCs w:val="18"/>
              </w:rPr>
            </w:pPr>
            <w:r w:rsidRPr="008272B7">
              <w:rPr>
                <w:rFonts w:eastAsia="Times New Roman"/>
                <w:b/>
                <w:bCs/>
                <w:sz w:val="18"/>
                <w:szCs w:val="18"/>
              </w:rPr>
              <w:t>L&amp;G PMC Sustainable Property Fund 3</w:t>
            </w:r>
          </w:p>
        </w:tc>
      </w:tr>
      <w:tr w:rsidR="008272B7" w14:paraId="533F5BCE" w14:textId="77777777" w:rsidTr="00CF6AE8">
        <w:trPr>
          <w:trHeight w:val="1319"/>
        </w:trPr>
        <w:tc>
          <w:tcPr>
            <w:tcW w:w="979" w:type="dxa"/>
            <w:vMerge/>
            <w:tcBorders>
              <w:top w:val="nil"/>
            </w:tcBorders>
            <w:shd w:val="clear" w:color="auto" w:fill="CE8D95"/>
          </w:tcPr>
          <w:p w14:paraId="533F5BC4" w14:textId="77777777" w:rsidR="008272B7" w:rsidRDefault="008272B7">
            <w:pPr>
              <w:rPr>
                <w:sz w:val="2"/>
                <w:szCs w:val="2"/>
              </w:rPr>
            </w:pPr>
          </w:p>
        </w:tc>
        <w:tc>
          <w:tcPr>
            <w:tcW w:w="977" w:type="dxa"/>
            <w:shd w:val="clear" w:color="auto" w:fill="CE8D95"/>
          </w:tcPr>
          <w:p w14:paraId="533F5BC5" w14:textId="77777777" w:rsidR="008272B7" w:rsidRDefault="008272B7">
            <w:pPr>
              <w:pStyle w:val="TableParagraph"/>
              <w:spacing w:line="278" w:lineRule="auto"/>
              <w:ind w:right="108" w:hanging="3"/>
              <w:jc w:val="center"/>
              <w:rPr>
                <w:b/>
                <w:sz w:val="18"/>
              </w:rPr>
            </w:pPr>
            <w:r>
              <w:rPr>
                <w:b/>
                <w:spacing w:val="-4"/>
                <w:sz w:val="18"/>
              </w:rPr>
              <w:t xml:space="preserve">Fund </w:t>
            </w:r>
            <w:r>
              <w:rPr>
                <w:b/>
                <w:spacing w:val="-2"/>
                <w:sz w:val="18"/>
              </w:rPr>
              <w:t xml:space="preserve">value (before </w:t>
            </w:r>
            <w:r>
              <w:rPr>
                <w:b/>
                <w:spacing w:val="-4"/>
                <w:sz w:val="18"/>
              </w:rPr>
              <w:t>charges)</w:t>
            </w:r>
          </w:p>
        </w:tc>
        <w:tc>
          <w:tcPr>
            <w:tcW w:w="980" w:type="dxa"/>
            <w:shd w:val="clear" w:color="auto" w:fill="CE8D95"/>
          </w:tcPr>
          <w:p w14:paraId="533F5BC6" w14:textId="77777777" w:rsidR="008272B7" w:rsidRDefault="008272B7">
            <w:pPr>
              <w:pStyle w:val="TableParagraph"/>
              <w:spacing w:line="278" w:lineRule="auto"/>
              <w:ind w:right="111"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82" w:type="dxa"/>
            <w:shd w:val="clear" w:color="auto" w:fill="CE8D95"/>
          </w:tcPr>
          <w:p w14:paraId="533F5BC7" w14:textId="77777777" w:rsidR="008272B7" w:rsidRDefault="008272B7">
            <w:pPr>
              <w:pStyle w:val="TableParagraph"/>
              <w:spacing w:line="278" w:lineRule="auto"/>
              <w:ind w:left="150" w:right="140" w:firstLine="3"/>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c>
          <w:tcPr>
            <w:tcW w:w="978" w:type="dxa"/>
            <w:shd w:val="clear" w:color="auto" w:fill="CE8D95"/>
          </w:tcPr>
          <w:p w14:paraId="533F5BC8" w14:textId="77777777" w:rsidR="008272B7" w:rsidRDefault="008272B7">
            <w:pPr>
              <w:pStyle w:val="TableParagraph"/>
              <w:spacing w:line="278" w:lineRule="auto"/>
              <w:ind w:right="109" w:hanging="3"/>
              <w:jc w:val="center"/>
              <w:rPr>
                <w:b/>
                <w:sz w:val="18"/>
              </w:rPr>
            </w:pPr>
            <w:r>
              <w:rPr>
                <w:b/>
                <w:spacing w:val="-4"/>
                <w:sz w:val="18"/>
              </w:rPr>
              <w:t xml:space="preserve">Fund </w:t>
            </w:r>
            <w:r>
              <w:rPr>
                <w:b/>
                <w:spacing w:val="-2"/>
                <w:sz w:val="18"/>
              </w:rPr>
              <w:t xml:space="preserve">value (before </w:t>
            </w:r>
            <w:r>
              <w:rPr>
                <w:b/>
                <w:spacing w:val="-4"/>
                <w:sz w:val="18"/>
              </w:rPr>
              <w:t>charges)</w:t>
            </w:r>
          </w:p>
        </w:tc>
        <w:tc>
          <w:tcPr>
            <w:tcW w:w="980" w:type="dxa"/>
            <w:shd w:val="clear" w:color="auto" w:fill="CE8D95"/>
          </w:tcPr>
          <w:p w14:paraId="533F5BC9" w14:textId="77777777" w:rsidR="008272B7" w:rsidRDefault="008272B7">
            <w:pPr>
              <w:pStyle w:val="TableParagraph"/>
              <w:spacing w:line="278" w:lineRule="auto"/>
              <w:ind w:left="118" w:right="112"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82" w:type="dxa"/>
            <w:shd w:val="clear" w:color="auto" w:fill="CE8D95"/>
          </w:tcPr>
          <w:p w14:paraId="533F5BCA" w14:textId="77777777" w:rsidR="008272B7" w:rsidRDefault="008272B7">
            <w:pPr>
              <w:pStyle w:val="TableParagraph"/>
              <w:spacing w:line="278" w:lineRule="auto"/>
              <w:ind w:left="148" w:right="142" w:firstLine="3"/>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r>
      <w:tr w:rsidR="003404B5" w14:paraId="533F5BE4" w14:textId="77777777" w:rsidTr="004810BD">
        <w:trPr>
          <w:trHeight w:val="360"/>
        </w:trPr>
        <w:tc>
          <w:tcPr>
            <w:tcW w:w="979" w:type="dxa"/>
            <w:tcBorders>
              <w:top w:val="nil"/>
              <w:left w:val="nil"/>
              <w:bottom w:val="nil"/>
              <w:right w:val="nil"/>
            </w:tcBorders>
          </w:tcPr>
          <w:p w14:paraId="533F5BDA" w14:textId="19B8CB5E" w:rsidR="003404B5" w:rsidRDefault="003404B5" w:rsidP="003404B5">
            <w:pPr>
              <w:pStyle w:val="TableParagraph"/>
              <w:spacing w:before="93"/>
              <w:rPr>
                <w:sz w:val="18"/>
              </w:rPr>
            </w:pPr>
            <w:r>
              <w:rPr>
                <w:color w:val="000000"/>
                <w:sz w:val="16"/>
                <w:szCs w:val="16"/>
              </w:rPr>
              <w:t>23</w:t>
            </w:r>
          </w:p>
        </w:tc>
        <w:tc>
          <w:tcPr>
            <w:tcW w:w="977" w:type="dxa"/>
            <w:tcBorders>
              <w:top w:val="nil"/>
              <w:left w:val="nil"/>
              <w:bottom w:val="nil"/>
              <w:right w:val="nil"/>
            </w:tcBorders>
          </w:tcPr>
          <w:p w14:paraId="533F5BDB" w14:textId="615E82EE" w:rsidR="003404B5" w:rsidRPr="00DC7DAB" w:rsidRDefault="003404B5" w:rsidP="003404B5">
            <w:pPr>
              <w:pStyle w:val="TableParagraph"/>
              <w:spacing w:before="93"/>
              <w:rPr>
                <w:sz w:val="18"/>
                <w:highlight w:val="lightGray"/>
              </w:rPr>
            </w:pPr>
            <w:r>
              <w:rPr>
                <w:color w:val="000000"/>
                <w:sz w:val="16"/>
                <w:szCs w:val="16"/>
              </w:rPr>
              <w:t>£31,245</w:t>
            </w:r>
          </w:p>
        </w:tc>
        <w:tc>
          <w:tcPr>
            <w:tcW w:w="980" w:type="dxa"/>
            <w:tcBorders>
              <w:top w:val="nil"/>
              <w:left w:val="nil"/>
              <w:bottom w:val="nil"/>
              <w:right w:val="nil"/>
            </w:tcBorders>
          </w:tcPr>
          <w:p w14:paraId="533F5BDC" w14:textId="01D1BDA1" w:rsidR="003404B5" w:rsidRPr="00DC7DAB" w:rsidRDefault="003404B5" w:rsidP="003404B5">
            <w:pPr>
              <w:pStyle w:val="TableParagraph"/>
              <w:spacing w:before="93"/>
              <w:rPr>
                <w:sz w:val="18"/>
                <w:highlight w:val="lightGray"/>
              </w:rPr>
            </w:pPr>
            <w:r>
              <w:rPr>
                <w:color w:val="000000"/>
                <w:sz w:val="16"/>
                <w:szCs w:val="16"/>
              </w:rPr>
              <w:t>£31,196</w:t>
            </w:r>
          </w:p>
        </w:tc>
        <w:tc>
          <w:tcPr>
            <w:tcW w:w="982" w:type="dxa"/>
            <w:tcBorders>
              <w:top w:val="nil"/>
              <w:left w:val="nil"/>
              <w:bottom w:val="nil"/>
              <w:right w:val="nil"/>
            </w:tcBorders>
          </w:tcPr>
          <w:p w14:paraId="533F5BDD" w14:textId="666482CE" w:rsidR="003404B5" w:rsidRPr="00DC7DAB" w:rsidRDefault="003404B5" w:rsidP="003404B5">
            <w:pPr>
              <w:pStyle w:val="TableParagraph"/>
              <w:spacing w:before="93"/>
              <w:rPr>
                <w:sz w:val="18"/>
                <w:highlight w:val="lightGray"/>
              </w:rPr>
            </w:pPr>
            <w:r>
              <w:rPr>
                <w:color w:val="000000"/>
                <w:sz w:val="16"/>
                <w:szCs w:val="16"/>
              </w:rPr>
              <w:t>£49</w:t>
            </w:r>
          </w:p>
        </w:tc>
        <w:tc>
          <w:tcPr>
            <w:tcW w:w="978" w:type="dxa"/>
            <w:tcBorders>
              <w:top w:val="nil"/>
              <w:left w:val="nil"/>
              <w:bottom w:val="nil"/>
              <w:right w:val="nil"/>
            </w:tcBorders>
          </w:tcPr>
          <w:p w14:paraId="533F5BDE" w14:textId="38FB1751" w:rsidR="003404B5" w:rsidRPr="00DC7DAB" w:rsidRDefault="003404B5" w:rsidP="003404B5">
            <w:pPr>
              <w:pStyle w:val="TableParagraph"/>
              <w:spacing w:before="93"/>
              <w:rPr>
                <w:sz w:val="18"/>
                <w:highlight w:val="lightGray"/>
              </w:rPr>
            </w:pPr>
            <w:r>
              <w:rPr>
                <w:color w:val="000000"/>
                <w:sz w:val="16"/>
                <w:szCs w:val="16"/>
              </w:rPr>
              <w:t>£31,245</w:t>
            </w:r>
          </w:p>
        </w:tc>
        <w:tc>
          <w:tcPr>
            <w:tcW w:w="980" w:type="dxa"/>
            <w:tcBorders>
              <w:top w:val="nil"/>
              <w:left w:val="nil"/>
              <w:bottom w:val="nil"/>
              <w:right w:val="nil"/>
            </w:tcBorders>
          </w:tcPr>
          <w:p w14:paraId="533F5BDF" w14:textId="13BA6049" w:rsidR="003404B5" w:rsidRPr="00DC7DAB" w:rsidRDefault="003404B5" w:rsidP="003404B5">
            <w:pPr>
              <w:pStyle w:val="TableParagraph"/>
              <w:spacing w:before="93"/>
              <w:ind w:left="118"/>
              <w:rPr>
                <w:sz w:val="18"/>
                <w:highlight w:val="lightGray"/>
              </w:rPr>
            </w:pPr>
            <w:r>
              <w:rPr>
                <w:color w:val="000000"/>
                <w:sz w:val="16"/>
                <w:szCs w:val="16"/>
              </w:rPr>
              <w:t>£30,674</w:t>
            </w:r>
          </w:p>
        </w:tc>
        <w:tc>
          <w:tcPr>
            <w:tcW w:w="982" w:type="dxa"/>
            <w:tcBorders>
              <w:top w:val="nil"/>
              <w:left w:val="nil"/>
              <w:bottom w:val="nil"/>
              <w:right w:val="nil"/>
            </w:tcBorders>
          </w:tcPr>
          <w:p w14:paraId="533F5BE0" w14:textId="700C8C89" w:rsidR="003404B5" w:rsidRPr="00DC7DAB" w:rsidRDefault="003404B5" w:rsidP="003404B5">
            <w:pPr>
              <w:pStyle w:val="TableParagraph"/>
              <w:spacing w:before="93"/>
              <w:ind w:left="117"/>
              <w:rPr>
                <w:sz w:val="18"/>
                <w:highlight w:val="lightGray"/>
              </w:rPr>
            </w:pPr>
            <w:r>
              <w:rPr>
                <w:color w:val="000000"/>
                <w:sz w:val="16"/>
                <w:szCs w:val="16"/>
              </w:rPr>
              <w:t>£571</w:t>
            </w:r>
          </w:p>
        </w:tc>
      </w:tr>
      <w:tr w:rsidR="003404B5" w14:paraId="533F5BEF" w14:textId="77777777" w:rsidTr="004810BD">
        <w:trPr>
          <w:trHeight w:val="359"/>
        </w:trPr>
        <w:tc>
          <w:tcPr>
            <w:tcW w:w="979" w:type="dxa"/>
            <w:tcBorders>
              <w:top w:val="nil"/>
              <w:left w:val="nil"/>
              <w:bottom w:val="nil"/>
              <w:right w:val="nil"/>
            </w:tcBorders>
          </w:tcPr>
          <w:p w14:paraId="533F5BE5" w14:textId="2C785091" w:rsidR="003404B5" w:rsidRDefault="003404B5" w:rsidP="003404B5">
            <w:pPr>
              <w:pStyle w:val="TableParagraph"/>
              <w:rPr>
                <w:sz w:val="18"/>
              </w:rPr>
            </w:pPr>
            <w:r>
              <w:rPr>
                <w:color w:val="000000"/>
                <w:sz w:val="16"/>
                <w:szCs w:val="16"/>
              </w:rPr>
              <w:t>25</w:t>
            </w:r>
          </w:p>
        </w:tc>
        <w:tc>
          <w:tcPr>
            <w:tcW w:w="977" w:type="dxa"/>
            <w:tcBorders>
              <w:top w:val="nil"/>
              <w:left w:val="nil"/>
              <w:bottom w:val="nil"/>
              <w:right w:val="nil"/>
            </w:tcBorders>
          </w:tcPr>
          <w:p w14:paraId="533F5BE6" w14:textId="1EB79AA0" w:rsidR="003404B5" w:rsidRPr="00DC7DAB" w:rsidRDefault="003404B5" w:rsidP="003404B5">
            <w:pPr>
              <w:pStyle w:val="TableParagraph"/>
              <w:rPr>
                <w:sz w:val="18"/>
                <w:highlight w:val="lightGray"/>
              </w:rPr>
            </w:pPr>
            <w:r>
              <w:rPr>
                <w:color w:val="000000"/>
                <w:sz w:val="16"/>
                <w:szCs w:val="16"/>
              </w:rPr>
              <w:t>£44,100</w:t>
            </w:r>
          </w:p>
        </w:tc>
        <w:tc>
          <w:tcPr>
            <w:tcW w:w="980" w:type="dxa"/>
            <w:tcBorders>
              <w:top w:val="nil"/>
              <w:left w:val="nil"/>
              <w:bottom w:val="nil"/>
              <w:right w:val="nil"/>
            </w:tcBorders>
          </w:tcPr>
          <w:p w14:paraId="533F5BE7" w14:textId="04B3BEB3" w:rsidR="003404B5" w:rsidRPr="00DC7DAB" w:rsidRDefault="003404B5" w:rsidP="003404B5">
            <w:pPr>
              <w:pStyle w:val="TableParagraph"/>
              <w:rPr>
                <w:sz w:val="18"/>
                <w:highlight w:val="lightGray"/>
              </w:rPr>
            </w:pPr>
            <w:r>
              <w:rPr>
                <w:color w:val="000000"/>
                <w:sz w:val="16"/>
                <w:szCs w:val="16"/>
              </w:rPr>
              <w:t>£43,913</w:t>
            </w:r>
          </w:p>
        </w:tc>
        <w:tc>
          <w:tcPr>
            <w:tcW w:w="982" w:type="dxa"/>
            <w:tcBorders>
              <w:top w:val="nil"/>
              <w:left w:val="nil"/>
              <w:bottom w:val="nil"/>
              <w:right w:val="nil"/>
            </w:tcBorders>
          </w:tcPr>
          <w:p w14:paraId="533F5BE8" w14:textId="7EA792F2" w:rsidR="003404B5" w:rsidRPr="00DC7DAB" w:rsidRDefault="003404B5" w:rsidP="003404B5">
            <w:pPr>
              <w:pStyle w:val="TableParagraph"/>
              <w:rPr>
                <w:sz w:val="18"/>
                <w:highlight w:val="lightGray"/>
              </w:rPr>
            </w:pPr>
            <w:r>
              <w:rPr>
                <w:color w:val="000000"/>
                <w:sz w:val="16"/>
                <w:szCs w:val="16"/>
              </w:rPr>
              <w:t>£187</w:t>
            </w:r>
          </w:p>
        </w:tc>
        <w:tc>
          <w:tcPr>
            <w:tcW w:w="978" w:type="dxa"/>
            <w:tcBorders>
              <w:top w:val="nil"/>
              <w:left w:val="nil"/>
              <w:bottom w:val="nil"/>
              <w:right w:val="nil"/>
            </w:tcBorders>
          </w:tcPr>
          <w:p w14:paraId="533F5BE9" w14:textId="7DBD3769" w:rsidR="003404B5" w:rsidRPr="00DC7DAB" w:rsidRDefault="003404B5" w:rsidP="003404B5">
            <w:pPr>
              <w:pStyle w:val="TableParagraph"/>
              <w:rPr>
                <w:sz w:val="18"/>
                <w:highlight w:val="lightGray"/>
              </w:rPr>
            </w:pPr>
            <w:r>
              <w:rPr>
                <w:color w:val="000000"/>
                <w:sz w:val="16"/>
                <w:szCs w:val="16"/>
              </w:rPr>
              <w:t>£44,100</w:t>
            </w:r>
          </w:p>
        </w:tc>
        <w:tc>
          <w:tcPr>
            <w:tcW w:w="980" w:type="dxa"/>
            <w:tcBorders>
              <w:top w:val="nil"/>
              <w:left w:val="nil"/>
              <w:bottom w:val="nil"/>
              <w:right w:val="nil"/>
            </w:tcBorders>
          </w:tcPr>
          <w:p w14:paraId="533F5BEA" w14:textId="5F03ADC1" w:rsidR="003404B5" w:rsidRPr="00DC7DAB" w:rsidRDefault="003404B5" w:rsidP="003404B5">
            <w:pPr>
              <w:pStyle w:val="TableParagraph"/>
              <w:ind w:left="118"/>
              <w:rPr>
                <w:sz w:val="18"/>
                <w:highlight w:val="lightGray"/>
              </w:rPr>
            </w:pPr>
            <w:r>
              <w:rPr>
                <w:color w:val="000000"/>
                <w:sz w:val="16"/>
                <w:szCs w:val="16"/>
              </w:rPr>
              <w:t>£41,963</w:t>
            </w:r>
          </w:p>
        </w:tc>
        <w:tc>
          <w:tcPr>
            <w:tcW w:w="982" w:type="dxa"/>
            <w:tcBorders>
              <w:top w:val="nil"/>
              <w:left w:val="nil"/>
              <w:bottom w:val="nil"/>
              <w:right w:val="nil"/>
            </w:tcBorders>
          </w:tcPr>
          <w:p w14:paraId="533F5BEB" w14:textId="2B2DB3A2" w:rsidR="003404B5" w:rsidRPr="00DC7DAB" w:rsidRDefault="003404B5" w:rsidP="003404B5">
            <w:pPr>
              <w:pStyle w:val="TableParagraph"/>
              <w:ind w:left="117"/>
              <w:rPr>
                <w:sz w:val="18"/>
                <w:highlight w:val="lightGray"/>
              </w:rPr>
            </w:pPr>
            <w:r>
              <w:rPr>
                <w:color w:val="000000"/>
                <w:sz w:val="16"/>
                <w:szCs w:val="16"/>
              </w:rPr>
              <w:t>£2,137</w:t>
            </w:r>
          </w:p>
        </w:tc>
      </w:tr>
      <w:tr w:rsidR="003404B5" w14:paraId="533F5BFA" w14:textId="77777777" w:rsidTr="004810BD">
        <w:trPr>
          <w:trHeight w:val="362"/>
        </w:trPr>
        <w:tc>
          <w:tcPr>
            <w:tcW w:w="979" w:type="dxa"/>
            <w:tcBorders>
              <w:top w:val="nil"/>
              <w:left w:val="nil"/>
              <w:bottom w:val="nil"/>
              <w:right w:val="nil"/>
            </w:tcBorders>
          </w:tcPr>
          <w:p w14:paraId="533F5BF0" w14:textId="1351249F" w:rsidR="003404B5" w:rsidRDefault="003404B5" w:rsidP="003404B5">
            <w:pPr>
              <w:pStyle w:val="TableParagraph"/>
              <w:spacing w:before="95"/>
              <w:rPr>
                <w:sz w:val="18"/>
              </w:rPr>
            </w:pPr>
            <w:r>
              <w:rPr>
                <w:color w:val="000000"/>
                <w:sz w:val="16"/>
                <w:szCs w:val="16"/>
              </w:rPr>
              <w:t>27</w:t>
            </w:r>
          </w:p>
        </w:tc>
        <w:tc>
          <w:tcPr>
            <w:tcW w:w="977" w:type="dxa"/>
            <w:tcBorders>
              <w:top w:val="nil"/>
              <w:left w:val="nil"/>
              <w:bottom w:val="nil"/>
              <w:right w:val="nil"/>
            </w:tcBorders>
          </w:tcPr>
          <w:p w14:paraId="533F5BF1" w14:textId="2AF6A847" w:rsidR="003404B5" w:rsidRPr="00DC7DAB" w:rsidRDefault="003404B5" w:rsidP="003404B5">
            <w:pPr>
              <w:pStyle w:val="TableParagraph"/>
              <w:spacing w:before="95"/>
              <w:rPr>
                <w:sz w:val="18"/>
                <w:highlight w:val="lightGray"/>
              </w:rPr>
            </w:pPr>
            <w:r>
              <w:rPr>
                <w:color w:val="000000"/>
                <w:sz w:val="16"/>
                <w:szCs w:val="16"/>
              </w:rPr>
              <w:t>£57,625</w:t>
            </w:r>
          </w:p>
        </w:tc>
        <w:tc>
          <w:tcPr>
            <w:tcW w:w="980" w:type="dxa"/>
            <w:tcBorders>
              <w:top w:val="nil"/>
              <w:left w:val="nil"/>
              <w:bottom w:val="nil"/>
              <w:right w:val="nil"/>
            </w:tcBorders>
          </w:tcPr>
          <w:p w14:paraId="533F5BF2" w14:textId="53A26E54" w:rsidR="003404B5" w:rsidRPr="00DC7DAB" w:rsidRDefault="003404B5" w:rsidP="003404B5">
            <w:pPr>
              <w:pStyle w:val="TableParagraph"/>
              <w:spacing w:before="95"/>
              <w:rPr>
                <w:sz w:val="18"/>
                <w:highlight w:val="lightGray"/>
              </w:rPr>
            </w:pPr>
            <w:r>
              <w:rPr>
                <w:color w:val="000000"/>
                <w:sz w:val="16"/>
                <w:szCs w:val="16"/>
              </w:rPr>
              <w:t>£57,241</w:t>
            </w:r>
          </w:p>
        </w:tc>
        <w:tc>
          <w:tcPr>
            <w:tcW w:w="982" w:type="dxa"/>
            <w:tcBorders>
              <w:top w:val="nil"/>
              <w:left w:val="nil"/>
              <w:bottom w:val="nil"/>
              <w:right w:val="nil"/>
            </w:tcBorders>
          </w:tcPr>
          <w:p w14:paraId="533F5BF3" w14:textId="196F71BF" w:rsidR="003404B5" w:rsidRPr="00DC7DAB" w:rsidRDefault="003404B5" w:rsidP="003404B5">
            <w:pPr>
              <w:pStyle w:val="TableParagraph"/>
              <w:spacing w:before="95"/>
              <w:rPr>
                <w:sz w:val="18"/>
                <w:highlight w:val="lightGray"/>
              </w:rPr>
            </w:pPr>
            <w:r>
              <w:rPr>
                <w:color w:val="000000"/>
                <w:sz w:val="16"/>
                <w:szCs w:val="16"/>
              </w:rPr>
              <w:t>£384</w:t>
            </w:r>
          </w:p>
        </w:tc>
        <w:tc>
          <w:tcPr>
            <w:tcW w:w="978" w:type="dxa"/>
            <w:tcBorders>
              <w:top w:val="nil"/>
              <w:left w:val="nil"/>
              <w:bottom w:val="nil"/>
              <w:right w:val="nil"/>
            </w:tcBorders>
          </w:tcPr>
          <w:p w14:paraId="533F5BF4" w14:textId="636B6F12" w:rsidR="003404B5" w:rsidRPr="00DC7DAB" w:rsidRDefault="003404B5" w:rsidP="003404B5">
            <w:pPr>
              <w:pStyle w:val="TableParagraph"/>
              <w:spacing w:before="95"/>
              <w:rPr>
                <w:sz w:val="18"/>
                <w:highlight w:val="lightGray"/>
              </w:rPr>
            </w:pPr>
            <w:r>
              <w:rPr>
                <w:color w:val="000000"/>
                <w:sz w:val="16"/>
                <w:szCs w:val="16"/>
              </w:rPr>
              <w:t>£57,625</w:t>
            </w:r>
          </w:p>
        </w:tc>
        <w:tc>
          <w:tcPr>
            <w:tcW w:w="980" w:type="dxa"/>
            <w:tcBorders>
              <w:top w:val="nil"/>
              <w:left w:val="nil"/>
              <w:bottom w:val="nil"/>
              <w:right w:val="nil"/>
            </w:tcBorders>
          </w:tcPr>
          <w:p w14:paraId="533F5BF5" w14:textId="2B90F8B5" w:rsidR="003404B5" w:rsidRPr="00DC7DAB" w:rsidRDefault="003404B5" w:rsidP="003404B5">
            <w:pPr>
              <w:pStyle w:val="TableParagraph"/>
              <w:spacing w:before="95"/>
              <w:ind w:left="118"/>
              <w:rPr>
                <w:sz w:val="18"/>
                <w:highlight w:val="lightGray"/>
              </w:rPr>
            </w:pPr>
            <w:r>
              <w:rPr>
                <w:color w:val="000000"/>
                <w:sz w:val="16"/>
                <w:szCs w:val="16"/>
              </w:rPr>
              <w:t>£53,310</w:t>
            </w:r>
          </w:p>
        </w:tc>
        <w:tc>
          <w:tcPr>
            <w:tcW w:w="982" w:type="dxa"/>
            <w:tcBorders>
              <w:top w:val="nil"/>
              <w:left w:val="nil"/>
              <w:bottom w:val="nil"/>
              <w:right w:val="nil"/>
            </w:tcBorders>
          </w:tcPr>
          <w:p w14:paraId="533F5BF6" w14:textId="73A1F232" w:rsidR="003404B5" w:rsidRPr="00DC7DAB" w:rsidRDefault="003404B5" w:rsidP="003404B5">
            <w:pPr>
              <w:pStyle w:val="TableParagraph"/>
              <w:spacing w:before="95"/>
              <w:ind w:left="117"/>
              <w:rPr>
                <w:sz w:val="18"/>
                <w:highlight w:val="lightGray"/>
              </w:rPr>
            </w:pPr>
            <w:r>
              <w:rPr>
                <w:color w:val="000000"/>
                <w:sz w:val="16"/>
                <w:szCs w:val="16"/>
              </w:rPr>
              <w:t>£4,315</w:t>
            </w:r>
          </w:p>
        </w:tc>
      </w:tr>
      <w:tr w:rsidR="003404B5" w14:paraId="533F5C05" w14:textId="77777777" w:rsidTr="004810BD">
        <w:trPr>
          <w:trHeight w:val="359"/>
        </w:trPr>
        <w:tc>
          <w:tcPr>
            <w:tcW w:w="979" w:type="dxa"/>
            <w:tcBorders>
              <w:top w:val="nil"/>
              <w:left w:val="nil"/>
              <w:bottom w:val="nil"/>
              <w:right w:val="nil"/>
            </w:tcBorders>
          </w:tcPr>
          <w:p w14:paraId="533F5BFB" w14:textId="26D55C14" w:rsidR="003404B5" w:rsidRDefault="003404B5" w:rsidP="003404B5">
            <w:pPr>
              <w:pStyle w:val="TableParagraph"/>
              <w:rPr>
                <w:sz w:val="18"/>
              </w:rPr>
            </w:pPr>
            <w:r>
              <w:rPr>
                <w:color w:val="000000"/>
                <w:sz w:val="16"/>
                <w:szCs w:val="16"/>
              </w:rPr>
              <w:t>32</w:t>
            </w:r>
          </w:p>
        </w:tc>
        <w:tc>
          <w:tcPr>
            <w:tcW w:w="977" w:type="dxa"/>
            <w:tcBorders>
              <w:top w:val="nil"/>
              <w:left w:val="nil"/>
              <w:bottom w:val="nil"/>
              <w:right w:val="nil"/>
            </w:tcBorders>
          </w:tcPr>
          <w:p w14:paraId="533F5BFC" w14:textId="623A451A" w:rsidR="003404B5" w:rsidRPr="00DC7DAB" w:rsidRDefault="003404B5" w:rsidP="003404B5">
            <w:pPr>
              <w:pStyle w:val="TableParagraph"/>
              <w:rPr>
                <w:sz w:val="18"/>
                <w:highlight w:val="lightGray"/>
              </w:rPr>
            </w:pPr>
            <w:r>
              <w:rPr>
                <w:color w:val="000000"/>
                <w:sz w:val="16"/>
                <w:szCs w:val="16"/>
              </w:rPr>
              <w:t>£94,926</w:t>
            </w:r>
          </w:p>
        </w:tc>
        <w:tc>
          <w:tcPr>
            <w:tcW w:w="980" w:type="dxa"/>
            <w:tcBorders>
              <w:top w:val="nil"/>
              <w:left w:val="nil"/>
              <w:bottom w:val="nil"/>
              <w:right w:val="nil"/>
            </w:tcBorders>
          </w:tcPr>
          <w:p w14:paraId="533F5BFD" w14:textId="7079EE7A" w:rsidR="003404B5" w:rsidRPr="00DC7DAB" w:rsidRDefault="003404B5" w:rsidP="003404B5">
            <w:pPr>
              <w:pStyle w:val="TableParagraph"/>
              <w:rPr>
                <w:sz w:val="18"/>
                <w:highlight w:val="lightGray"/>
              </w:rPr>
            </w:pPr>
            <w:r>
              <w:rPr>
                <w:color w:val="000000"/>
                <w:sz w:val="16"/>
                <w:szCs w:val="16"/>
              </w:rPr>
              <w:t>£93,743</w:t>
            </w:r>
          </w:p>
        </w:tc>
        <w:tc>
          <w:tcPr>
            <w:tcW w:w="982" w:type="dxa"/>
            <w:tcBorders>
              <w:top w:val="nil"/>
              <w:left w:val="nil"/>
              <w:bottom w:val="nil"/>
              <w:right w:val="nil"/>
            </w:tcBorders>
          </w:tcPr>
          <w:p w14:paraId="533F5BFE" w14:textId="10BEBE14" w:rsidR="003404B5" w:rsidRPr="00DC7DAB" w:rsidRDefault="003404B5" w:rsidP="003404B5">
            <w:pPr>
              <w:pStyle w:val="TableParagraph"/>
              <w:rPr>
                <w:sz w:val="18"/>
                <w:highlight w:val="lightGray"/>
              </w:rPr>
            </w:pPr>
            <w:r>
              <w:rPr>
                <w:color w:val="000000"/>
                <w:sz w:val="16"/>
                <w:szCs w:val="16"/>
              </w:rPr>
              <w:t>£1,183</w:t>
            </w:r>
          </w:p>
        </w:tc>
        <w:tc>
          <w:tcPr>
            <w:tcW w:w="978" w:type="dxa"/>
            <w:tcBorders>
              <w:top w:val="nil"/>
              <w:left w:val="nil"/>
              <w:bottom w:val="nil"/>
              <w:right w:val="nil"/>
            </w:tcBorders>
          </w:tcPr>
          <w:p w14:paraId="533F5BFF" w14:textId="008EAD35" w:rsidR="003404B5" w:rsidRPr="00DC7DAB" w:rsidRDefault="003404B5" w:rsidP="003404B5">
            <w:pPr>
              <w:pStyle w:val="TableParagraph"/>
              <w:rPr>
                <w:sz w:val="18"/>
                <w:highlight w:val="lightGray"/>
              </w:rPr>
            </w:pPr>
            <w:r>
              <w:rPr>
                <w:color w:val="000000"/>
                <w:sz w:val="16"/>
                <w:szCs w:val="16"/>
              </w:rPr>
              <w:t>£94,926</w:t>
            </w:r>
          </w:p>
        </w:tc>
        <w:tc>
          <w:tcPr>
            <w:tcW w:w="980" w:type="dxa"/>
            <w:tcBorders>
              <w:top w:val="nil"/>
              <w:left w:val="nil"/>
              <w:bottom w:val="nil"/>
              <w:right w:val="nil"/>
            </w:tcBorders>
          </w:tcPr>
          <w:p w14:paraId="533F5C00" w14:textId="7C97769C" w:rsidR="003404B5" w:rsidRPr="00DC7DAB" w:rsidRDefault="003404B5" w:rsidP="003404B5">
            <w:pPr>
              <w:pStyle w:val="TableParagraph"/>
              <w:ind w:left="118"/>
              <w:rPr>
                <w:sz w:val="18"/>
                <w:highlight w:val="lightGray"/>
              </w:rPr>
            </w:pPr>
            <w:r>
              <w:rPr>
                <w:color w:val="000000"/>
                <w:sz w:val="16"/>
                <w:szCs w:val="16"/>
              </w:rPr>
              <w:t>£82,101</w:t>
            </w:r>
          </w:p>
        </w:tc>
        <w:tc>
          <w:tcPr>
            <w:tcW w:w="982" w:type="dxa"/>
            <w:tcBorders>
              <w:top w:val="nil"/>
              <w:left w:val="nil"/>
              <w:bottom w:val="nil"/>
              <w:right w:val="nil"/>
            </w:tcBorders>
          </w:tcPr>
          <w:p w14:paraId="533F5C01" w14:textId="59AE2CE4" w:rsidR="003404B5" w:rsidRPr="00DC7DAB" w:rsidRDefault="003404B5" w:rsidP="003404B5">
            <w:pPr>
              <w:pStyle w:val="TableParagraph"/>
              <w:ind w:left="117"/>
              <w:rPr>
                <w:sz w:val="18"/>
                <w:highlight w:val="lightGray"/>
              </w:rPr>
            </w:pPr>
            <w:r>
              <w:rPr>
                <w:color w:val="000000"/>
                <w:sz w:val="16"/>
                <w:szCs w:val="16"/>
              </w:rPr>
              <w:t>£12,825</w:t>
            </w:r>
          </w:p>
        </w:tc>
      </w:tr>
      <w:tr w:rsidR="003404B5" w14:paraId="533F5C10" w14:textId="77777777" w:rsidTr="004810BD">
        <w:trPr>
          <w:trHeight w:val="359"/>
        </w:trPr>
        <w:tc>
          <w:tcPr>
            <w:tcW w:w="979" w:type="dxa"/>
            <w:tcBorders>
              <w:top w:val="nil"/>
              <w:left w:val="nil"/>
              <w:bottom w:val="nil"/>
              <w:right w:val="nil"/>
            </w:tcBorders>
          </w:tcPr>
          <w:p w14:paraId="533F5C06" w14:textId="09FD13B4" w:rsidR="003404B5" w:rsidRDefault="003404B5" w:rsidP="003404B5">
            <w:pPr>
              <w:pStyle w:val="TableParagraph"/>
              <w:rPr>
                <w:sz w:val="18"/>
              </w:rPr>
            </w:pPr>
            <w:r>
              <w:rPr>
                <w:color w:val="000000"/>
                <w:sz w:val="16"/>
                <w:szCs w:val="16"/>
              </w:rPr>
              <w:t>42</w:t>
            </w:r>
          </w:p>
        </w:tc>
        <w:tc>
          <w:tcPr>
            <w:tcW w:w="977" w:type="dxa"/>
            <w:tcBorders>
              <w:top w:val="nil"/>
              <w:left w:val="nil"/>
              <w:bottom w:val="nil"/>
              <w:right w:val="nil"/>
            </w:tcBorders>
          </w:tcPr>
          <w:p w14:paraId="533F5C07" w14:textId="4CE990F2" w:rsidR="003404B5" w:rsidRPr="00DC7DAB" w:rsidRDefault="003404B5" w:rsidP="003404B5">
            <w:pPr>
              <w:pStyle w:val="TableParagraph"/>
              <w:rPr>
                <w:sz w:val="18"/>
                <w:highlight w:val="lightGray"/>
              </w:rPr>
            </w:pPr>
            <w:r>
              <w:rPr>
                <w:color w:val="000000"/>
                <w:sz w:val="16"/>
                <w:szCs w:val="16"/>
              </w:rPr>
              <w:t>£189,967</w:t>
            </w:r>
          </w:p>
        </w:tc>
        <w:tc>
          <w:tcPr>
            <w:tcW w:w="980" w:type="dxa"/>
            <w:tcBorders>
              <w:top w:val="nil"/>
              <w:left w:val="nil"/>
              <w:bottom w:val="nil"/>
              <w:right w:val="nil"/>
            </w:tcBorders>
          </w:tcPr>
          <w:p w14:paraId="533F5C08" w14:textId="376A625D" w:rsidR="003404B5" w:rsidRPr="00DC7DAB" w:rsidRDefault="003404B5" w:rsidP="003404B5">
            <w:pPr>
              <w:pStyle w:val="TableParagraph"/>
              <w:rPr>
                <w:sz w:val="18"/>
                <w:highlight w:val="lightGray"/>
              </w:rPr>
            </w:pPr>
            <w:r>
              <w:rPr>
                <w:color w:val="000000"/>
                <w:sz w:val="16"/>
                <w:szCs w:val="16"/>
              </w:rPr>
              <w:t>£185,303</w:t>
            </w:r>
          </w:p>
        </w:tc>
        <w:tc>
          <w:tcPr>
            <w:tcW w:w="982" w:type="dxa"/>
            <w:tcBorders>
              <w:top w:val="nil"/>
              <w:left w:val="nil"/>
              <w:bottom w:val="nil"/>
              <w:right w:val="nil"/>
            </w:tcBorders>
          </w:tcPr>
          <w:p w14:paraId="533F5C09" w14:textId="074C6A72" w:rsidR="003404B5" w:rsidRPr="00DC7DAB" w:rsidRDefault="003404B5" w:rsidP="003404B5">
            <w:pPr>
              <w:pStyle w:val="TableParagraph"/>
              <w:rPr>
                <w:sz w:val="18"/>
                <w:highlight w:val="lightGray"/>
              </w:rPr>
            </w:pPr>
            <w:r>
              <w:rPr>
                <w:color w:val="000000"/>
                <w:sz w:val="16"/>
                <w:szCs w:val="16"/>
              </w:rPr>
              <w:t>£4,664</w:t>
            </w:r>
          </w:p>
        </w:tc>
        <w:tc>
          <w:tcPr>
            <w:tcW w:w="978" w:type="dxa"/>
            <w:tcBorders>
              <w:top w:val="nil"/>
              <w:left w:val="nil"/>
              <w:bottom w:val="nil"/>
              <w:right w:val="nil"/>
            </w:tcBorders>
          </w:tcPr>
          <w:p w14:paraId="533F5C0A" w14:textId="199C5708" w:rsidR="003404B5" w:rsidRPr="00DC7DAB" w:rsidRDefault="003404B5" w:rsidP="003404B5">
            <w:pPr>
              <w:pStyle w:val="TableParagraph"/>
              <w:rPr>
                <w:sz w:val="18"/>
                <w:highlight w:val="lightGray"/>
              </w:rPr>
            </w:pPr>
            <w:r>
              <w:rPr>
                <w:color w:val="000000"/>
                <w:sz w:val="16"/>
                <w:szCs w:val="16"/>
              </w:rPr>
              <w:t>£189,967</w:t>
            </w:r>
          </w:p>
        </w:tc>
        <w:tc>
          <w:tcPr>
            <w:tcW w:w="980" w:type="dxa"/>
            <w:tcBorders>
              <w:top w:val="nil"/>
              <w:left w:val="nil"/>
              <w:bottom w:val="nil"/>
              <w:right w:val="nil"/>
            </w:tcBorders>
          </w:tcPr>
          <w:p w14:paraId="533F5C0B" w14:textId="1DC3898D" w:rsidR="003404B5" w:rsidRPr="00DC7DAB" w:rsidRDefault="003404B5" w:rsidP="003404B5">
            <w:pPr>
              <w:pStyle w:val="TableParagraph"/>
              <w:ind w:left="118"/>
              <w:rPr>
                <w:sz w:val="18"/>
                <w:highlight w:val="lightGray"/>
              </w:rPr>
            </w:pPr>
            <w:r>
              <w:rPr>
                <w:color w:val="000000"/>
                <w:sz w:val="16"/>
                <w:szCs w:val="16"/>
              </w:rPr>
              <w:t>£142,884</w:t>
            </w:r>
          </w:p>
        </w:tc>
        <w:tc>
          <w:tcPr>
            <w:tcW w:w="982" w:type="dxa"/>
            <w:tcBorders>
              <w:top w:val="nil"/>
              <w:left w:val="nil"/>
              <w:bottom w:val="nil"/>
              <w:right w:val="nil"/>
            </w:tcBorders>
          </w:tcPr>
          <w:p w14:paraId="533F5C0C" w14:textId="7180B02D" w:rsidR="003404B5" w:rsidRPr="00DC7DAB" w:rsidRDefault="003404B5" w:rsidP="003404B5">
            <w:pPr>
              <w:pStyle w:val="TableParagraph"/>
              <w:ind w:left="117"/>
              <w:rPr>
                <w:sz w:val="18"/>
                <w:highlight w:val="lightGray"/>
              </w:rPr>
            </w:pPr>
            <w:r>
              <w:rPr>
                <w:color w:val="000000"/>
                <w:sz w:val="16"/>
                <w:szCs w:val="16"/>
              </w:rPr>
              <w:t>£47,083</w:t>
            </w:r>
          </w:p>
        </w:tc>
      </w:tr>
      <w:tr w:rsidR="003404B5" w14:paraId="533F5C1B" w14:textId="77777777" w:rsidTr="004810BD">
        <w:trPr>
          <w:trHeight w:val="359"/>
        </w:trPr>
        <w:tc>
          <w:tcPr>
            <w:tcW w:w="979" w:type="dxa"/>
            <w:tcBorders>
              <w:top w:val="nil"/>
              <w:left w:val="nil"/>
              <w:bottom w:val="nil"/>
              <w:right w:val="nil"/>
            </w:tcBorders>
          </w:tcPr>
          <w:p w14:paraId="533F5C11" w14:textId="70F392E6" w:rsidR="003404B5" w:rsidRDefault="003404B5" w:rsidP="003404B5">
            <w:pPr>
              <w:pStyle w:val="TableParagraph"/>
              <w:rPr>
                <w:sz w:val="18"/>
              </w:rPr>
            </w:pPr>
            <w:r>
              <w:rPr>
                <w:color w:val="000000"/>
                <w:sz w:val="16"/>
                <w:szCs w:val="16"/>
              </w:rPr>
              <w:t>52</w:t>
            </w:r>
          </w:p>
        </w:tc>
        <w:tc>
          <w:tcPr>
            <w:tcW w:w="977" w:type="dxa"/>
            <w:tcBorders>
              <w:top w:val="nil"/>
              <w:left w:val="nil"/>
              <w:bottom w:val="nil"/>
              <w:right w:val="nil"/>
            </w:tcBorders>
          </w:tcPr>
          <w:p w14:paraId="533F5C12" w14:textId="4B5778C4" w:rsidR="003404B5" w:rsidRPr="00DC7DAB" w:rsidRDefault="003404B5" w:rsidP="003404B5">
            <w:pPr>
              <w:pStyle w:val="TableParagraph"/>
              <w:rPr>
                <w:sz w:val="18"/>
                <w:highlight w:val="lightGray"/>
              </w:rPr>
            </w:pPr>
            <w:r>
              <w:rPr>
                <w:color w:val="000000"/>
                <w:sz w:val="16"/>
                <w:szCs w:val="16"/>
              </w:rPr>
              <w:t>£326,373</w:t>
            </w:r>
          </w:p>
        </w:tc>
        <w:tc>
          <w:tcPr>
            <w:tcW w:w="980" w:type="dxa"/>
            <w:tcBorders>
              <w:top w:val="nil"/>
              <w:left w:val="nil"/>
              <w:bottom w:val="nil"/>
              <w:right w:val="nil"/>
            </w:tcBorders>
          </w:tcPr>
          <w:p w14:paraId="533F5C13" w14:textId="75C0D0BD" w:rsidR="003404B5" w:rsidRPr="00DC7DAB" w:rsidRDefault="003404B5" w:rsidP="003404B5">
            <w:pPr>
              <w:pStyle w:val="TableParagraph"/>
              <w:rPr>
                <w:sz w:val="18"/>
                <w:highlight w:val="lightGray"/>
              </w:rPr>
            </w:pPr>
            <w:r>
              <w:rPr>
                <w:color w:val="000000"/>
                <w:sz w:val="16"/>
                <w:szCs w:val="16"/>
              </w:rPr>
              <w:t>£314,079</w:t>
            </w:r>
          </w:p>
        </w:tc>
        <w:tc>
          <w:tcPr>
            <w:tcW w:w="982" w:type="dxa"/>
            <w:tcBorders>
              <w:top w:val="nil"/>
              <w:left w:val="nil"/>
              <w:bottom w:val="nil"/>
              <w:right w:val="nil"/>
            </w:tcBorders>
          </w:tcPr>
          <w:p w14:paraId="533F5C14" w14:textId="0114E530" w:rsidR="003404B5" w:rsidRPr="00DC7DAB" w:rsidRDefault="003404B5" w:rsidP="003404B5">
            <w:pPr>
              <w:pStyle w:val="TableParagraph"/>
              <w:rPr>
                <w:sz w:val="18"/>
                <w:highlight w:val="lightGray"/>
              </w:rPr>
            </w:pPr>
            <w:r>
              <w:rPr>
                <w:color w:val="000000"/>
                <w:sz w:val="16"/>
                <w:szCs w:val="16"/>
              </w:rPr>
              <w:t>£12,294</w:t>
            </w:r>
          </w:p>
        </w:tc>
        <w:tc>
          <w:tcPr>
            <w:tcW w:w="978" w:type="dxa"/>
            <w:tcBorders>
              <w:top w:val="nil"/>
              <w:left w:val="nil"/>
              <w:bottom w:val="nil"/>
              <w:right w:val="nil"/>
            </w:tcBorders>
          </w:tcPr>
          <w:p w14:paraId="533F5C15" w14:textId="19A9261A" w:rsidR="003404B5" w:rsidRPr="00DC7DAB" w:rsidRDefault="003404B5" w:rsidP="003404B5">
            <w:pPr>
              <w:pStyle w:val="TableParagraph"/>
              <w:rPr>
                <w:sz w:val="18"/>
                <w:highlight w:val="lightGray"/>
              </w:rPr>
            </w:pPr>
            <w:r>
              <w:rPr>
                <w:color w:val="000000"/>
                <w:sz w:val="16"/>
                <w:szCs w:val="16"/>
              </w:rPr>
              <w:t>£326,373</w:t>
            </w:r>
          </w:p>
        </w:tc>
        <w:tc>
          <w:tcPr>
            <w:tcW w:w="980" w:type="dxa"/>
            <w:tcBorders>
              <w:top w:val="nil"/>
              <w:left w:val="nil"/>
              <w:bottom w:val="nil"/>
              <w:right w:val="nil"/>
            </w:tcBorders>
          </w:tcPr>
          <w:p w14:paraId="533F5C16" w14:textId="092767C0" w:rsidR="003404B5" w:rsidRPr="00DC7DAB" w:rsidRDefault="003404B5" w:rsidP="003404B5">
            <w:pPr>
              <w:pStyle w:val="TableParagraph"/>
              <w:ind w:left="118"/>
              <w:rPr>
                <w:sz w:val="18"/>
                <w:highlight w:val="lightGray"/>
              </w:rPr>
            </w:pPr>
            <w:r>
              <w:rPr>
                <w:color w:val="000000"/>
                <w:sz w:val="16"/>
                <w:szCs w:val="16"/>
              </w:rPr>
              <w:t>£210,783</w:t>
            </w:r>
          </w:p>
        </w:tc>
        <w:tc>
          <w:tcPr>
            <w:tcW w:w="982" w:type="dxa"/>
            <w:tcBorders>
              <w:top w:val="nil"/>
              <w:left w:val="nil"/>
              <w:bottom w:val="nil"/>
              <w:right w:val="nil"/>
            </w:tcBorders>
          </w:tcPr>
          <w:p w14:paraId="533F5C17" w14:textId="47C3E77C" w:rsidR="003404B5" w:rsidRPr="00DC7DAB" w:rsidRDefault="003404B5" w:rsidP="003404B5">
            <w:pPr>
              <w:pStyle w:val="TableParagraph"/>
              <w:ind w:left="117"/>
              <w:rPr>
                <w:sz w:val="18"/>
                <w:highlight w:val="lightGray"/>
              </w:rPr>
            </w:pPr>
            <w:r>
              <w:rPr>
                <w:color w:val="000000"/>
                <w:sz w:val="16"/>
                <w:szCs w:val="16"/>
              </w:rPr>
              <w:t>£115,590</w:t>
            </w:r>
          </w:p>
        </w:tc>
      </w:tr>
      <w:tr w:rsidR="003404B5" w14:paraId="533F5C26" w14:textId="77777777" w:rsidTr="004810BD">
        <w:trPr>
          <w:trHeight w:val="359"/>
        </w:trPr>
        <w:tc>
          <w:tcPr>
            <w:tcW w:w="979" w:type="dxa"/>
            <w:tcBorders>
              <w:top w:val="nil"/>
              <w:left w:val="nil"/>
              <w:bottom w:val="nil"/>
              <w:right w:val="nil"/>
            </w:tcBorders>
          </w:tcPr>
          <w:p w14:paraId="533F5C1C" w14:textId="4194611E" w:rsidR="003404B5" w:rsidRDefault="003404B5" w:rsidP="003404B5">
            <w:pPr>
              <w:pStyle w:val="TableParagraph"/>
              <w:rPr>
                <w:sz w:val="18"/>
              </w:rPr>
            </w:pPr>
            <w:r>
              <w:rPr>
                <w:color w:val="000000"/>
                <w:sz w:val="16"/>
                <w:szCs w:val="16"/>
              </w:rPr>
              <w:t>62</w:t>
            </w:r>
          </w:p>
        </w:tc>
        <w:tc>
          <w:tcPr>
            <w:tcW w:w="977" w:type="dxa"/>
            <w:tcBorders>
              <w:top w:val="nil"/>
              <w:left w:val="nil"/>
              <w:bottom w:val="nil"/>
              <w:right w:val="nil"/>
            </w:tcBorders>
          </w:tcPr>
          <w:p w14:paraId="533F5C1D" w14:textId="745E8E9E" w:rsidR="003404B5" w:rsidRPr="00DC7DAB" w:rsidRDefault="003404B5" w:rsidP="003404B5">
            <w:pPr>
              <w:pStyle w:val="TableParagraph"/>
              <w:rPr>
                <w:sz w:val="18"/>
                <w:highlight w:val="lightGray"/>
              </w:rPr>
            </w:pPr>
            <w:r>
              <w:rPr>
                <w:color w:val="000000"/>
                <w:sz w:val="16"/>
                <w:szCs w:val="16"/>
              </w:rPr>
              <w:t>£528,456</w:t>
            </w:r>
          </w:p>
        </w:tc>
        <w:tc>
          <w:tcPr>
            <w:tcW w:w="980" w:type="dxa"/>
            <w:tcBorders>
              <w:top w:val="nil"/>
              <w:left w:val="nil"/>
              <w:bottom w:val="nil"/>
              <w:right w:val="nil"/>
            </w:tcBorders>
          </w:tcPr>
          <w:p w14:paraId="533F5C1E" w14:textId="6A92319E" w:rsidR="003404B5" w:rsidRPr="00DC7DAB" w:rsidRDefault="003404B5" w:rsidP="003404B5">
            <w:pPr>
              <w:pStyle w:val="TableParagraph"/>
              <w:rPr>
                <w:sz w:val="18"/>
                <w:highlight w:val="lightGray"/>
              </w:rPr>
            </w:pPr>
            <w:r>
              <w:rPr>
                <w:color w:val="000000"/>
                <w:sz w:val="16"/>
                <w:szCs w:val="16"/>
              </w:rPr>
              <w:t>£501,173</w:t>
            </w:r>
          </w:p>
        </w:tc>
        <w:tc>
          <w:tcPr>
            <w:tcW w:w="982" w:type="dxa"/>
            <w:tcBorders>
              <w:top w:val="nil"/>
              <w:left w:val="nil"/>
              <w:bottom w:val="nil"/>
              <w:right w:val="nil"/>
            </w:tcBorders>
          </w:tcPr>
          <w:p w14:paraId="533F5C1F" w14:textId="05865BBC" w:rsidR="003404B5" w:rsidRPr="00DC7DAB" w:rsidRDefault="003404B5" w:rsidP="003404B5">
            <w:pPr>
              <w:pStyle w:val="TableParagraph"/>
              <w:rPr>
                <w:sz w:val="18"/>
                <w:highlight w:val="lightGray"/>
              </w:rPr>
            </w:pPr>
            <w:r>
              <w:rPr>
                <w:color w:val="000000"/>
                <w:sz w:val="16"/>
                <w:szCs w:val="16"/>
              </w:rPr>
              <w:t>£27,283</w:t>
            </w:r>
          </w:p>
        </w:tc>
        <w:tc>
          <w:tcPr>
            <w:tcW w:w="978" w:type="dxa"/>
            <w:tcBorders>
              <w:top w:val="nil"/>
              <w:left w:val="nil"/>
              <w:bottom w:val="nil"/>
              <w:right w:val="nil"/>
            </w:tcBorders>
          </w:tcPr>
          <w:p w14:paraId="533F5C20" w14:textId="0E79ECE7" w:rsidR="003404B5" w:rsidRPr="00DC7DAB" w:rsidRDefault="003404B5" w:rsidP="003404B5">
            <w:pPr>
              <w:pStyle w:val="TableParagraph"/>
              <w:rPr>
                <w:sz w:val="18"/>
                <w:highlight w:val="lightGray"/>
              </w:rPr>
            </w:pPr>
            <w:r>
              <w:rPr>
                <w:color w:val="000000"/>
                <w:sz w:val="16"/>
                <w:szCs w:val="16"/>
              </w:rPr>
              <w:t>£528,456</w:t>
            </w:r>
          </w:p>
        </w:tc>
        <w:tc>
          <w:tcPr>
            <w:tcW w:w="980" w:type="dxa"/>
            <w:tcBorders>
              <w:top w:val="nil"/>
              <w:left w:val="nil"/>
              <w:bottom w:val="nil"/>
              <w:right w:val="nil"/>
            </w:tcBorders>
          </w:tcPr>
          <w:p w14:paraId="533F5C21" w14:textId="768216D5" w:rsidR="003404B5" w:rsidRPr="00DC7DAB" w:rsidRDefault="003404B5" w:rsidP="003404B5">
            <w:pPr>
              <w:pStyle w:val="TableParagraph"/>
              <w:ind w:left="118"/>
              <w:rPr>
                <w:sz w:val="18"/>
                <w:highlight w:val="lightGray"/>
              </w:rPr>
            </w:pPr>
            <w:r>
              <w:rPr>
                <w:color w:val="000000"/>
                <w:sz w:val="16"/>
                <w:szCs w:val="16"/>
              </w:rPr>
              <w:t>£289,530</w:t>
            </w:r>
          </w:p>
        </w:tc>
        <w:tc>
          <w:tcPr>
            <w:tcW w:w="982" w:type="dxa"/>
            <w:tcBorders>
              <w:top w:val="nil"/>
              <w:left w:val="nil"/>
              <w:bottom w:val="nil"/>
              <w:right w:val="nil"/>
            </w:tcBorders>
          </w:tcPr>
          <w:p w14:paraId="533F5C22" w14:textId="77B2DD11" w:rsidR="003404B5" w:rsidRPr="00DC7DAB" w:rsidRDefault="003404B5" w:rsidP="003404B5">
            <w:pPr>
              <w:pStyle w:val="TableParagraph"/>
              <w:ind w:left="117"/>
              <w:rPr>
                <w:sz w:val="18"/>
                <w:highlight w:val="lightGray"/>
              </w:rPr>
            </w:pPr>
            <w:r>
              <w:rPr>
                <w:color w:val="000000"/>
                <w:sz w:val="16"/>
                <w:szCs w:val="16"/>
              </w:rPr>
              <w:t>£238,926</w:t>
            </w:r>
          </w:p>
        </w:tc>
      </w:tr>
      <w:tr w:rsidR="003404B5" w14:paraId="533F5C31" w14:textId="77777777" w:rsidTr="004810BD">
        <w:trPr>
          <w:trHeight w:val="359"/>
        </w:trPr>
        <w:tc>
          <w:tcPr>
            <w:tcW w:w="979" w:type="dxa"/>
            <w:tcBorders>
              <w:top w:val="nil"/>
              <w:left w:val="nil"/>
              <w:bottom w:val="nil"/>
              <w:right w:val="nil"/>
            </w:tcBorders>
          </w:tcPr>
          <w:p w14:paraId="533F5C27" w14:textId="23D7C066" w:rsidR="003404B5" w:rsidRDefault="003404B5" w:rsidP="003404B5">
            <w:pPr>
              <w:pStyle w:val="TableParagraph"/>
              <w:rPr>
                <w:sz w:val="18"/>
              </w:rPr>
            </w:pPr>
            <w:r>
              <w:rPr>
                <w:color w:val="000000"/>
                <w:sz w:val="16"/>
                <w:szCs w:val="16"/>
              </w:rPr>
              <w:t>65</w:t>
            </w:r>
          </w:p>
        </w:tc>
        <w:tc>
          <w:tcPr>
            <w:tcW w:w="977" w:type="dxa"/>
            <w:tcBorders>
              <w:top w:val="nil"/>
              <w:left w:val="nil"/>
              <w:bottom w:val="nil"/>
              <w:right w:val="nil"/>
            </w:tcBorders>
          </w:tcPr>
          <w:p w14:paraId="533F5C28" w14:textId="26FCE033" w:rsidR="003404B5" w:rsidRPr="00DC7DAB" w:rsidRDefault="003404B5" w:rsidP="003404B5">
            <w:pPr>
              <w:pStyle w:val="TableParagraph"/>
              <w:rPr>
                <w:sz w:val="18"/>
                <w:highlight w:val="lightGray"/>
              </w:rPr>
            </w:pPr>
            <w:r>
              <w:rPr>
                <w:color w:val="000000"/>
                <w:sz w:val="16"/>
                <w:szCs w:val="16"/>
              </w:rPr>
              <w:t>£606,971</w:t>
            </w:r>
          </w:p>
        </w:tc>
        <w:tc>
          <w:tcPr>
            <w:tcW w:w="980" w:type="dxa"/>
            <w:tcBorders>
              <w:top w:val="nil"/>
              <w:left w:val="nil"/>
              <w:bottom w:val="nil"/>
              <w:right w:val="nil"/>
            </w:tcBorders>
          </w:tcPr>
          <w:p w14:paraId="533F5C29" w14:textId="4E31C185" w:rsidR="003404B5" w:rsidRPr="00DC7DAB" w:rsidRDefault="003404B5" w:rsidP="003404B5">
            <w:pPr>
              <w:pStyle w:val="TableParagraph"/>
              <w:rPr>
                <w:sz w:val="18"/>
                <w:highlight w:val="lightGray"/>
              </w:rPr>
            </w:pPr>
            <w:r>
              <w:rPr>
                <w:color w:val="000000"/>
                <w:sz w:val="16"/>
                <w:szCs w:val="16"/>
              </w:rPr>
              <w:t>£573,020</w:t>
            </w:r>
          </w:p>
        </w:tc>
        <w:tc>
          <w:tcPr>
            <w:tcW w:w="982" w:type="dxa"/>
            <w:tcBorders>
              <w:top w:val="nil"/>
              <w:left w:val="nil"/>
              <w:bottom w:val="nil"/>
              <w:right w:val="nil"/>
            </w:tcBorders>
          </w:tcPr>
          <w:p w14:paraId="533F5C2A" w14:textId="65D9DF9C" w:rsidR="003404B5" w:rsidRPr="00DC7DAB" w:rsidRDefault="003404B5" w:rsidP="003404B5">
            <w:pPr>
              <w:pStyle w:val="TableParagraph"/>
              <w:rPr>
                <w:sz w:val="18"/>
                <w:highlight w:val="lightGray"/>
              </w:rPr>
            </w:pPr>
            <w:r>
              <w:rPr>
                <w:color w:val="000000"/>
                <w:sz w:val="16"/>
                <w:szCs w:val="16"/>
              </w:rPr>
              <w:t>£33,951</w:t>
            </w:r>
          </w:p>
        </w:tc>
        <w:tc>
          <w:tcPr>
            <w:tcW w:w="978" w:type="dxa"/>
            <w:tcBorders>
              <w:top w:val="nil"/>
              <w:left w:val="nil"/>
              <w:bottom w:val="nil"/>
              <w:right w:val="nil"/>
            </w:tcBorders>
          </w:tcPr>
          <w:p w14:paraId="533F5C2B" w14:textId="72644AC5" w:rsidR="003404B5" w:rsidRPr="00DC7DAB" w:rsidRDefault="003404B5" w:rsidP="003404B5">
            <w:pPr>
              <w:pStyle w:val="TableParagraph"/>
              <w:rPr>
                <w:sz w:val="18"/>
                <w:highlight w:val="lightGray"/>
              </w:rPr>
            </w:pPr>
            <w:r>
              <w:rPr>
                <w:color w:val="000000"/>
                <w:sz w:val="16"/>
                <w:szCs w:val="16"/>
              </w:rPr>
              <w:t>£606,971</w:t>
            </w:r>
          </w:p>
        </w:tc>
        <w:tc>
          <w:tcPr>
            <w:tcW w:w="980" w:type="dxa"/>
            <w:tcBorders>
              <w:top w:val="nil"/>
              <w:left w:val="nil"/>
              <w:bottom w:val="nil"/>
              <w:right w:val="nil"/>
            </w:tcBorders>
          </w:tcPr>
          <w:p w14:paraId="533F5C2C" w14:textId="0C956560" w:rsidR="003404B5" w:rsidRPr="00DC7DAB" w:rsidRDefault="003404B5" w:rsidP="003404B5">
            <w:pPr>
              <w:pStyle w:val="TableParagraph"/>
              <w:ind w:left="118"/>
              <w:rPr>
                <w:sz w:val="18"/>
                <w:highlight w:val="lightGray"/>
              </w:rPr>
            </w:pPr>
            <w:r>
              <w:rPr>
                <w:color w:val="000000"/>
                <w:sz w:val="16"/>
                <w:szCs w:val="16"/>
              </w:rPr>
              <w:t>£315,893</w:t>
            </w:r>
          </w:p>
        </w:tc>
        <w:tc>
          <w:tcPr>
            <w:tcW w:w="982" w:type="dxa"/>
            <w:tcBorders>
              <w:top w:val="nil"/>
              <w:left w:val="nil"/>
              <w:bottom w:val="nil"/>
              <w:right w:val="nil"/>
            </w:tcBorders>
          </w:tcPr>
          <w:p w14:paraId="533F5C2D" w14:textId="5A5EC673" w:rsidR="003404B5" w:rsidRPr="00DC7DAB" w:rsidRDefault="003404B5" w:rsidP="003404B5">
            <w:pPr>
              <w:pStyle w:val="TableParagraph"/>
              <w:ind w:left="117"/>
              <w:rPr>
                <w:sz w:val="18"/>
                <w:highlight w:val="lightGray"/>
              </w:rPr>
            </w:pPr>
            <w:r>
              <w:rPr>
                <w:color w:val="000000"/>
                <w:sz w:val="16"/>
                <w:szCs w:val="16"/>
              </w:rPr>
              <w:t>£291,078</w:t>
            </w:r>
          </w:p>
        </w:tc>
      </w:tr>
    </w:tbl>
    <w:p w14:paraId="533F5D39" w14:textId="77777777" w:rsidR="00AB3475" w:rsidRDefault="00AB3475">
      <w:pPr>
        <w:pStyle w:val="BodyText"/>
        <w:spacing w:before="175"/>
      </w:pPr>
    </w:p>
    <w:p w14:paraId="533F5D3A" w14:textId="66547326" w:rsidR="00AB3475" w:rsidRDefault="008272B7">
      <w:pPr>
        <w:pStyle w:val="Heading1"/>
        <w:jc w:val="both"/>
        <w:rPr>
          <w:sz w:val="18"/>
        </w:rPr>
      </w:pPr>
      <w:r>
        <w:t>4B.2.</w:t>
      </w:r>
      <w:r>
        <w:rPr>
          <w:spacing w:val="-6"/>
        </w:rPr>
        <w:t xml:space="preserve"> </w:t>
      </w:r>
      <w:r>
        <w:rPr>
          <w:spacing w:val="-4"/>
        </w:rPr>
        <w:t>AVC</w:t>
      </w:r>
      <w:r>
        <w:rPr>
          <w:spacing w:val="-4"/>
          <w:sz w:val="18"/>
        </w:rPr>
        <w:t>S</w:t>
      </w:r>
    </w:p>
    <w:p w14:paraId="533F5D3B" w14:textId="77777777" w:rsidR="00AB3475" w:rsidRDefault="00A853B3">
      <w:pPr>
        <w:pStyle w:val="BodyText"/>
        <w:spacing w:before="237"/>
        <w:ind w:left="199" w:right="554"/>
        <w:jc w:val="both"/>
      </w:pPr>
      <w:r>
        <w:t>For the AVC arrangement, no members are currently paying contributions therefore we have decided to illustrate one example member as follows:</w:t>
      </w:r>
    </w:p>
    <w:p w14:paraId="533F5D3C" w14:textId="77777777" w:rsidR="00AB3475" w:rsidRDefault="00AB3475">
      <w:pPr>
        <w:pStyle w:val="BodyText"/>
        <w:spacing w:before="22"/>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738"/>
        <w:gridCol w:w="1736"/>
        <w:gridCol w:w="3332"/>
      </w:tblGrid>
      <w:tr w:rsidR="00AB3475" w14:paraId="533F5D41" w14:textId="77777777" w:rsidTr="00CF6AE8">
        <w:trPr>
          <w:trHeight w:val="254"/>
        </w:trPr>
        <w:tc>
          <w:tcPr>
            <w:tcW w:w="2547" w:type="dxa"/>
            <w:shd w:val="clear" w:color="auto" w:fill="CE8D95"/>
          </w:tcPr>
          <w:p w14:paraId="65A37373" w14:textId="77777777" w:rsidR="00BB3DF5" w:rsidRDefault="00BB3DF5">
            <w:pPr>
              <w:pStyle w:val="TableParagraph"/>
              <w:spacing w:before="0" w:line="229" w:lineRule="exact"/>
              <w:ind w:left="107"/>
              <w:rPr>
                <w:b/>
                <w:sz w:val="20"/>
              </w:rPr>
            </w:pPr>
            <w:r>
              <w:rPr>
                <w:b/>
                <w:sz w:val="20"/>
              </w:rPr>
              <w:t>Table 7</w:t>
            </w:r>
          </w:p>
          <w:p w14:paraId="533F5D3D" w14:textId="09D9050D" w:rsidR="00AB3475" w:rsidRDefault="00A853B3">
            <w:pPr>
              <w:pStyle w:val="TableParagraph"/>
              <w:spacing w:before="0" w:line="229" w:lineRule="exact"/>
              <w:ind w:left="107"/>
              <w:rPr>
                <w:b/>
                <w:sz w:val="20"/>
              </w:rPr>
            </w:pPr>
            <w:r>
              <w:rPr>
                <w:b/>
                <w:sz w:val="20"/>
              </w:rPr>
              <w:t>Example</w:t>
            </w:r>
            <w:r>
              <w:rPr>
                <w:b/>
                <w:spacing w:val="-10"/>
                <w:sz w:val="20"/>
              </w:rPr>
              <w:t xml:space="preserve"> </w:t>
            </w:r>
            <w:r>
              <w:rPr>
                <w:b/>
                <w:spacing w:val="-2"/>
                <w:sz w:val="20"/>
              </w:rPr>
              <w:t>Member</w:t>
            </w:r>
          </w:p>
        </w:tc>
        <w:tc>
          <w:tcPr>
            <w:tcW w:w="1738" w:type="dxa"/>
            <w:shd w:val="clear" w:color="auto" w:fill="CE8D95"/>
          </w:tcPr>
          <w:p w14:paraId="533F5D3E" w14:textId="77777777" w:rsidR="00AB3475" w:rsidRDefault="00A853B3">
            <w:pPr>
              <w:pStyle w:val="TableParagraph"/>
              <w:spacing w:before="0" w:line="229" w:lineRule="exact"/>
              <w:ind w:left="9" w:right="3"/>
              <w:jc w:val="center"/>
              <w:rPr>
                <w:b/>
                <w:sz w:val="20"/>
              </w:rPr>
            </w:pPr>
            <w:r>
              <w:rPr>
                <w:b/>
                <w:sz w:val="20"/>
              </w:rPr>
              <w:t>Current</w:t>
            </w:r>
            <w:r>
              <w:rPr>
                <w:b/>
                <w:spacing w:val="-5"/>
                <w:sz w:val="20"/>
              </w:rPr>
              <w:t xml:space="preserve"> Age</w:t>
            </w:r>
          </w:p>
        </w:tc>
        <w:tc>
          <w:tcPr>
            <w:tcW w:w="1736" w:type="dxa"/>
            <w:shd w:val="clear" w:color="auto" w:fill="CE8D95"/>
          </w:tcPr>
          <w:p w14:paraId="533F5D3F" w14:textId="77777777" w:rsidR="00AB3475" w:rsidRDefault="00A853B3">
            <w:pPr>
              <w:pStyle w:val="TableParagraph"/>
              <w:spacing w:before="0" w:line="229" w:lineRule="exact"/>
              <w:ind w:left="7"/>
              <w:jc w:val="center"/>
              <w:rPr>
                <w:b/>
                <w:sz w:val="20"/>
              </w:rPr>
            </w:pPr>
            <w:r>
              <w:rPr>
                <w:b/>
                <w:sz w:val="20"/>
              </w:rPr>
              <w:t>Retirement</w:t>
            </w:r>
            <w:r>
              <w:rPr>
                <w:b/>
                <w:spacing w:val="-7"/>
                <w:sz w:val="20"/>
              </w:rPr>
              <w:t xml:space="preserve"> </w:t>
            </w:r>
            <w:r>
              <w:rPr>
                <w:b/>
                <w:spacing w:val="-5"/>
                <w:sz w:val="20"/>
              </w:rPr>
              <w:t>Age</w:t>
            </w:r>
          </w:p>
        </w:tc>
        <w:tc>
          <w:tcPr>
            <w:tcW w:w="3332" w:type="dxa"/>
            <w:shd w:val="clear" w:color="auto" w:fill="CE8D95"/>
          </w:tcPr>
          <w:p w14:paraId="533F5D40" w14:textId="77777777" w:rsidR="00AB3475" w:rsidRDefault="00A853B3">
            <w:pPr>
              <w:pStyle w:val="TableParagraph"/>
              <w:spacing w:before="0" w:line="229" w:lineRule="exact"/>
              <w:ind w:left="8" w:right="2"/>
              <w:jc w:val="center"/>
              <w:rPr>
                <w:b/>
                <w:sz w:val="20"/>
              </w:rPr>
            </w:pPr>
            <w:r>
              <w:rPr>
                <w:b/>
                <w:sz w:val="20"/>
              </w:rPr>
              <w:t>Current</w:t>
            </w:r>
            <w:r>
              <w:rPr>
                <w:b/>
                <w:spacing w:val="-7"/>
                <w:sz w:val="20"/>
              </w:rPr>
              <w:t xml:space="preserve"> </w:t>
            </w:r>
            <w:r>
              <w:rPr>
                <w:b/>
                <w:sz w:val="20"/>
              </w:rPr>
              <w:t>fund</w:t>
            </w:r>
            <w:r>
              <w:rPr>
                <w:b/>
                <w:spacing w:val="-7"/>
                <w:sz w:val="20"/>
              </w:rPr>
              <w:t xml:space="preserve"> </w:t>
            </w:r>
            <w:r>
              <w:rPr>
                <w:b/>
                <w:sz w:val="20"/>
              </w:rPr>
              <w:t>value</w:t>
            </w:r>
            <w:r>
              <w:rPr>
                <w:b/>
                <w:spacing w:val="-8"/>
                <w:sz w:val="20"/>
              </w:rPr>
              <w:t xml:space="preserve"> </w:t>
            </w:r>
            <w:r>
              <w:rPr>
                <w:b/>
                <w:spacing w:val="-5"/>
                <w:sz w:val="20"/>
              </w:rPr>
              <w:t>(£)</w:t>
            </w:r>
          </w:p>
        </w:tc>
      </w:tr>
      <w:tr w:rsidR="00AB3475" w14:paraId="533F5D46" w14:textId="77777777">
        <w:trPr>
          <w:trHeight w:val="333"/>
        </w:trPr>
        <w:tc>
          <w:tcPr>
            <w:tcW w:w="2547" w:type="dxa"/>
          </w:tcPr>
          <w:p w14:paraId="533F5D42" w14:textId="22059ED2" w:rsidR="00AB3475" w:rsidRPr="009B2A0E" w:rsidRDefault="00A853B3">
            <w:pPr>
              <w:pStyle w:val="TableParagraph"/>
              <w:spacing w:before="40"/>
              <w:ind w:left="107"/>
              <w:rPr>
                <w:sz w:val="20"/>
              </w:rPr>
            </w:pPr>
            <w:r w:rsidRPr="009B2A0E">
              <w:rPr>
                <w:sz w:val="20"/>
              </w:rPr>
              <w:t>Youngest</w:t>
            </w:r>
            <w:r w:rsidRPr="009B2A0E">
              <w:rPr>
                <w:spacing w:val="-5"/>
                <w:sz w:val="20"/>
              </w:rPr>
              <w:t xml:space="preserve"> </w:t>
            </w:r>
            <w:r w:rsidRPr="009B2A0E">
              <w:rPr>
                <w:spacing w:val="-2"/>
                <w:sz w:val="20"/>
              </w:rPr>
              <w:t>member</w:t>
            </w:r>
          </w:p>
        </w:tc>
        <w:tc>
          <w:tcPr>
            <w:tcW w:w="1738" w:type="dxa"/>
          </w:tcPr>
          <w:p w14:paraId="533F5D43" w14:textId="6D43835B" w:rsidR="00AB3475" w:rsidRPr="009B2A0E" w:rsidRDefault="00BD50B8">
            <w:pPr>
              <w:pStyle w:val="TableParagraph"/>
              <w:spacing w:before="40"/>
              <w:ind w:left="9"/>
              <w:jc w:val="center"/>
              <w:rPr>
                <w:sz w:val="20"/>
              </w:rPr>
            </w:pPr>
            <w:r w:rsidRPr="009B2A0E">
              <w:rPr>
                <w:spacing w:val="-5"/>
                <w:sz w:val="20"/>
              </w:rPr>
              <w:t>41</w:t>
            </w:r>
          </w:p>
        </w:tc>
        <w:tc>
          <w:tcPr>
            <w:tcW w:w="1736" w:type="dxa"/>
          </w:tcPr>
          <w:p w14:paraId="533F5D44" w14:textId="77777777" w:rsidR="00AB3475" w:rsidRPr="009B2A0E" w:rsidRDefault="00A853B3">
            <w:pPr>
              <w:pStyle w:val="TableParagraph"/>
              <w:spacing w:before="40"/>
              <w:ind w:left="7" w:right="1"/>
              <w:jc w:val="center"/>
              <w:rPr>
                <w:sz w:val="20"/>
              </w:rPr>
            </w:pPr>
            <w:r w:rsidRPr="009B2A0E">
              <w:rPr>
                <w:spacing w:val="-5"/>
                <w:sz w:val="20"/>
              </w:rPr>
              <w:t>65</w:t>
            </w:r>
          </w:p>
        </w:tc>
        <w:tc>
          <w:tcPr>
            <w:tcW w:w="3332" w:type="dxa"/>
          </w:tcPr>
          <w:p w14:paraId="533F5D45" w14:textId="106EF10E" w:rsidR="00AB3475" w:rsidRPr="009B2A0E" w:rsidRDefault="00755FE7">
            <w:pPr>
              <w:pStyle w:val="TableParagraph"/>
              <w:spacing w:before="40"/>
              <w:ind w:left="8"/>
              <w:jc w:val="center"/>
              <w:rPr>
                <w:sz w:val="20"/>
              </w:rPr>
            </w:pPr>
            <w:r w:rsidRPr="009B2A0E">
              <w:rPr>
                <w:spacing w:val="-2"/>
                <w:sz w:val="20"/>
              </w:rPr>
              <w:t>20,800</w:t>
            </w:r>
          </w:p>
        </w:tc>
      </w:tr>
    </w:tbl>
    <w:p w14:paraId="533F5D47" w14:textId="420663ED" w:rsidR="00AB3475" w:rsidRDefault="00A853B3" w:rsidP="0025176B">
      <w:pPr>
        <w:pStyle w:val="BodyText"/>
        <w:spacing w:before="252"/>
        <w:ind w:left="199" w:right="553"/>
        <w:jc w:val="both"/>
      </w:pPr>
      <w:r>
        <w:t>In accordance with the guidance, we have produced illustrations to demonstrate the cumulative effect</w:t>
      </w:r>
      <w:r>
        <w:rPr>
          <w:spacing w:val="-4"/>
        </w:rPr>
        <w:t xml:space="preserve"> </w:t>
      </w:r>
      <w:r>
        <w:t>of</w:t>
      </w:r>
      <w:r>
        <w:rPr>
          <w:spacing w:val="-6"/>
        </w:rPr>
        <w:t xml:space="preserve"> </w:t>
      </w:r>
      <w:r>
        <w:t>the</w:t>
      </w:r>
      <w:r>
        <w:rPr>
          <w:spacing w:val="-6"/>
        </w:rPr>
        <w:t xml:space="preserve"> </w:t>
      </w:r>
      <w:r>
        <w:t>above</w:t>
      </w:r>
      <w:r>
        <w:rPr>
          <w:spacing w:val="-5"/>
        </w:rPr>
        <w:t xml:space="preserve"> </w:t>
      </w:r>
      <w:r>
        <w:t>costs</w:t>
      </w:r>
      <w:r>
        <w:rPr>
          <w:spacing w:val="-10"/>
        </w:rPr>
        <w:t xml:space="preserve"> </w:t>
      </w:r>
      <w:r>
        <w:t>and</w:t>
      </w:r>
      <w:r>
        <w:rPr>
          <w:spacing w:val="-5"/>
        </w:rPr>
        <w:t xml:space="preserve"> </w:t>
      </w:r>
      <w:r>
        <w:t>charges</w:t>
      </w:r>
      <w:r>
        <w:rPr>
          <w:spacing w:val="-10"/>
        </w:rPr>
        <w:t xml:space="preserve"> </w:t>
      </w:r>
      <w:r>
        <w:t>for</w:t>
      </w:r>
      <w:r>
        <w:rPr>
          <w:spacing w:val="-7"/>
        </w:rPr>
        <w:t xml:space="preserve"> </w:t>
      </w:r>
      <w:r w:rsidRPr="00A15153">
        <w:t>the</w:t>
      </w:r>
      <w:r w:rsidRPr="00A15153">
        <w:rPr>
          <w:spacing w:val="-13"/>
        </w:rPr>
        <w:t xml:space="preserve"> </w:t>
      </w:r>
      <w:r w:rsidR="0025176B" w:rsidRPr="00A15153">
        <w:rPr>
          <w:spacing w:val="-13"/>
        </w:rPr>
        <w:t xml:space="preserve">L&amp;G </w:t>
      </w:r>
      <w:r w:rsidR="0025176B" w:rsidRPr="009B2A0E">
        <w:rPr>
          <w:spacing w:val="-13"/>
        </w:rPr>
        <w:t xml:space="preserve">PMC </w:t>
      </w:r>
      <w:r w:rsidR="00BD50B8" w:rsidRPr="009B2A0E">
        <w:rPr>
          <w:spacing w:val="-13"/>
        </w:rPr>
        <w:t>2050 -2055</w:t>
      </w:r>
      <w:r w:rsidR="0025176B" w:rsidRPr="009B2A0E">
        <w:rPr>
          <w:spacing w:val="-13"/>
        </w:rPr>
        <w:t xml:space="preserve"> Target Date Fund 3 </w:t>
      </w:r>
      <w:r w:rsidRPr="009B2A0E">
        <w:t>and</w:t>
      </w:r>
      <w:r w:rsidRPr="009B2A0E">
        <w:rPr>
          <w:spacing w:val="-8"/>
        </w:rPr>
        <w:t xml:space="preserve"> </w:t>
      </w:r>
      <w:r w:rsidRPr="009B2A0E">
        <w:t>the</w:t>
      </w:r>
      <w:r w:rsidRPr="009B2A0E">
        <w:rPr>
          <w:spacing w:val="-8"/>
        </w:rPr>
        <w:t xml:space="preserve"> </w:t>
      </w:r>
      <w:r w:rsidR="002C7AE1" w:rsidRPr="009B2A0E">
        <w:rPr>
          <w:spacing w:val="-8"/>
        </w:rPr>
        <w:t>HSBC Islamic Global Equity Index Fund 3 and the MT Global Developed Index Equity Fund</w:t>
      </w:r>
      <w:r w:rsidRPr="009B2A0E">
        <w:t xml:space="preserve"> because these are the funds with the highest and lowest charges respectively</w:t>
      </w:r>
      <w:r>
        <w:t xml:space="preserve"> </w:t>
      </w:r>
    </w:p>
    <w:p w14:paraId="533F5D48" w14:textId="77777777" w:rsidR="00AB3475" w:rsidRDefault="00AB3475">
      <w:pPr>
        <w:pStyle w:val="BodyText"/>
      </w:pPr>
    </w:p>
    <w:p w14:paraId="533F5D49" w14:textId="45CEC25B" w:rsidR="00AA17F6" w:rsidRDefault="00A853B3">
      <w:pPr>
        <w:pStyle w:val="BodyText"/>
        <w:ind w:left="199" w:right="564"/>
        <w:jc w:val="both"/>
      </w:pPr>
      <w:r>
        <w:t xml:space="preserve">For </w:t>
      </w:r>
      <w:r w:rsidR="00B567B3">
        <w:t xml:space="preserve">the AVC </w:t>
      </w:r>
      <w:r>
        <w:t>example member, the estimated impact of charges on accumulated fund values is shown in the table below.</w:t>
      </w:r>
    </w:p>
    <w:p w14:paraId="39E3D668" w14:textId="77777777" w:rsidR="00F766C4" w:rsidRDefault="00F766C4">
      <w:pPr>
        <w:pStyle w:val="BodyText"/>
        <w:ind w:left="199" w:right="564"/>
        <w:jc w:val="both"/>
      </w:pPr>
    </w:p>
    <w:tbl>
      <w:tblPr>
        <w:tblW w:w="9796"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977"/>
        <w:gridCol w:w="980"/>
        <w:gridCol w:w="982"/>
        <w:gridCol w:w="978"/>
        <w:gridCol w:w="980"/>
        <w:gridCol w:w="982"/>
        <w:gridCol w:w="980"/>
        <w:gridCol w:w="979"/>
        <w:gridCol w:w="979"/>
      </w:tblGrid>
      <w:tr w:rsidR="00F766C4" w:rsidRPr="006F1380" w14:paraId="01816B5D" w14:textId="77777777" w:rsidTr="00AA17F6">
        <w:trPr>
          <w:trHeight w:val="599"/>
        </w:trPr>
        <w:tc>
          <w:tcPr>
            <w:tcW w:w="979" w:type="dxa"/>
            <w:vMerge w:val="restart"/>
            <w:shd w:val="clear" w:color="auto" w:fill="CE8D95"/>
          </w:tcPr>
          <w:p w14:paraId="32CB72BF" w14:textId="260857DF" w:rsidR="00F766C4" w:rsidRDefault="00BB3DF5">
            <w:pPr>
              <w:pStyle w:val="TableParagraph"/>
              <w:rPr>
                <w:b/>
                <w:sz w:val="18"/>
              </w:rPr>
            </w:pPr>
            <w:r>
              <w:rPr>
                <w:b/>
                <w:spacing w:val="-5"/>
                <w:sz w:val="18"/>
              </w:rPr>
              <w:t xml:space="preserve">Table 8 </w:t>
            </w:r>
            <w:r w:rsidR="00F766C4">
              <w:rPr>
                <w:b/>
                <w:spacing w:val="-5"/>
                <w:sz w:val="18"/>
              </w:rPr>
              <w:t>Age</w:t>
            </w:r>
          </w:p>
        </w:tc>
        <w:tc>
          <w:tcPr>
            <w:tcW w:w="2939" w:type="dxa"/>
            <w:gridSpan w:val="3"/>
            <w:shd w:val="clear" w:color="auto" w:fill="CE8D95"/>
          </w:tcPr>
          <w:p w14:paraId="41FDD477" w14:textId="5F53D300" w:rsidR="00F766C4" w:rsidRDefault="00F766C4">
            <w:pPr>
              <w:pStyle w:val="TableParagraph"/>
              <w:ind w:left="11"/>
              <w:jc w:val="center"/>
              <w:rPr>
                <w:b/>
                <w:sz w:val="18"/>
              </w:rPr>
            </w:pPr>
            <w:r>
              <w:rPr>
                <w:b/>
                <w:sz w:val="18"/>
              </w:rPr>
              <w:t>L&amp;G</w:t>
            </w:r>
            <w:r>
              <w:rPr>
                <w:b/>
                <w:spacing w:val="-13"/>
                <w:sz w:val="18"/>
              </w:rPr>
              <w:t xml:space="preserve"> </w:t>
            </w:r>
            <w:r>
              <w:rPr>
                <w:b/>
                <w:sz w:val="18"/>
              </w:rPr>
              <w:t>PMC</w:t>
            </w:r>
            <w:r>
              <w:rPr>
                <w:b/>
                <w:spacing w:val="-11"/>
                <w:sz w:val="18"/>
              </w:rPr>
              <w:t xml:space="preserve"> </w:t>
            </w:r>
            <w:r>
              <w:rPr>
                <w:b/>
                <w:sz w:val="18"/>
              </w:rPr>
              <w:t>2050 - 20</w:t>
            </w:r>
            <w:r w:rsidR="0099308B">
              <w:rPr>
                <w:b/>
                <w:sz w:val="18"/>
              </w:rPr>
              <w:t>5</w:t>
            </w:r>
            <w:r>
              <w:rPr>
                <w:b/>
                <w:sz w:val="18"/>
              </w:rPr>
              <w:t>5</w:t>
            </w:r>
            <w:r>
              <w:rPr>
                <w:b/>
                <w:spacing w:val="-11"/>
                <w:sz w:val="18"/>
              </w:rPr>
              <w:t xml:space="preserve"> </w:t>
            </w:r>
            <w:r>
              <w:rPr>
                <w:b/>
                <w:spacing w:val="-2"/>
                <w:sz w:val="18"/>
              </w:rPr>
              <w:t>Target</w:t>
            </w:r>
          </w:p>
          <w:p w14:paraId="41CCB338" w14:textId="77777777" w:rsidR="00F766C4" w:rsidRDefault="00F766C4">
            <w:pPr>
              <w:pStyle w:val="TableParagraph"/>
              <w:spacing w:before="33"/>
              <w:ind w:left="11" w:right="1"/>
              <w:jc w:val="center"/>
              <w:rPr>
                <w:b/>
                <w:sz w:val="18"/>
              </w:rPr>
            </w:pPr>
            <w:r>
              <w:rPr>
                <w:b/>
                <w:sz w:val="18"/>
              </w:rPr>
              <w:t>Date</w:t>
            </w:r>
            <w:r>
              <w:rPr>
                <w:b/>
                <w:spacing w:val="-12"/>
                <w:sz w:val="18"/>
              </w:rPr>
              <w:t xml:space="preserve"> </w:t>
            </w:r>
            <w:r>
              <w:rPr>
                <w:b/>
                <w:sz w:val="18"/>
              </w:rPr>
              <w:t>Fund</w:t>
            </w:r>
            <w:r>
              <w:rPr>
                <w:b/>
                <w:spacing w:val="-12"/>
                <w:sz w:val="18"/>
              </w:rPr>
              <w:t xml:space="preserve"> </w:t>
            </w:r>
            <w:r>
              <w:rPr>
                <w:b/>
                <w:spacing w:val="-10"/>
                <w:sz w:val="18"/>
              </w:rPr>
              <w:t>3</w:t>
            </w:r>
          </w:p>
        </w:tc>
        <w:tc>
          <w:tcPr>
            <w:tcW w:w="2940" w:type="dxa"/>
            <w:gridSpan w:val="3"/>
            <w:shd w:val="clear" w:color="auto" w:fill="CE8D95"/>
          </w:tcPr>
          <w:p w14:paraId="65044AF3" w14:textId="538A84FD" w:rsidR="00F766C4" w:rsidRDefault="00F766C4">
            <w:pPr>
              <w:pStyle w:val="TableParagraph"/>
              <w:spacing w:line="278" w:lineRule="auto"/>
              <w:ind w:left="680" w:right="233" w:hanging="440"/>
              <w:rPr>
                <w:b/>
                <w:sz w:val="18"/>
              </w:rPr>
            </w:pPr>
            <w:r>
              <w:rPr>
                <w:b/>
                <w:spacing w:val="-2"/>
                <w:sz w:val="18"/>
              </w:rPr>
              <w:t>L&amp;G</w:t>
            </w:r>
            <w:r>
              <w:rPr>
                <w:b/>
                <w:spacing w:val="-11"/>
                <w:sz w:val="18"/>
              </w:rPr>
              <w:t xml:space="preserve"> </w:t>
            </w:r>
            <w:r w:rsidR="00AA17F6">
              <w:rPr>
                <w:b/>
                <w:spacing w:val="-11"/>
                <w:sz w:val="18"/>
              </w:rPr>
              <w:t>PMC HSBC Islamic Global Equity Index Fund 3</w:t>
            </w:r>
          </w:p>
        </w:tc>
        <w:tc>
          <w:tcPr>
            <w:tcW w:w="2938" w:type="dxa"/>
            <w:gridSpan w:val="3"/>
            <w:shd w:val="clear" w:color="auto" w:fill="CE8D95"/>
          </w:tcPr>
          <w:p w14:paraId="70BC43C9" w14:textId="471CEA90" w:rsidR="00F766C4" w:rsidRPr="006F1380" w:rsidRDefault="00F766C4">
            <w:pPr>
              <w:pStyle w:val="TableParagraph"/>
              <w:spacing w:line="278" w:lineRule="auto"/>
              <w:ind w:left="876" w:hanging="548"/>
              <w:rPr>
                <w:b/>
                <w:bCs/>
                <w:sz w:val="18"/>
                <w:szCs w:val="18"/>
              </w:rPr>
            </w:pPr>
            <w:r w:rsidRPr="006F1380">
              <w:rPr>
                <w:rFonts w:eastAsia="Times New Roman"/>
                <w:b/>
                <w:bCs/>
                <w:sz w:val="18"/>
                <w:szCs w:val="18"/>
              </w:rPr>
              <w:t xml:space="preserve">L&amp;G MT </w:t>
            </w:r>
            <w:r w:rsidR="00AA17F6">
              <w:rPr>
                <w:rFonts w:eastAsia="Times New Roman"/>
                <w:b/>
                <w:bCs/>
                <w:sz w:val="18"/>
                <w:szCs w:val="18"/>
              </w:rPr>
              <w:t xml:space="preserve">Global Developed Index Equity </w:t>
            </w:r>
            <w:r w:rsidRPr="006F1380">
              <w:rPr>
                <w:rFonts w:eastAsia="Times New Roman"/>
                <w:b/>
                <w:bCs/>
                <w:sz w:val="18"/>
                <w:szCs w:val="18"/>
              </w:rPr>
              <w:t>Fund</w:t>
            </w:r>
          </w:p>
        </w:tc>
      </w:tr>
      <w:tr w:rsidR="00F766C4" w14:paraId="108E2E54" w14:textId="77777777" w:rsidTr="00AA17F6">
        <w:trPr>
          <w:trHeight w:val="1320"/>
        </w:trPr>
        <w:tc>
          <w:tcPr>
            <w:tcW w:w="979" w:type="dxa"/>
            <w:vMerge/>
            <w:tcBorders>
              <w:top w:val="nil"/>
            </w:tcBorders>
            <w:shd w:val="clear" w:color="auto" w:fill="CE8D95"/>
          </w:tcPr>
          <w:p w14:paraId="5D006D48" w14:textId="77777777" w:rsidR="00F766C4" w:rsidRDefault="00F766C4">
            <w:pPr>
              <w:rPr>
                <w:sz w:val="2"/>
                <w:szCs w:val="2"/>
              </w:rPr>
            </w:pPr>
          </w:p>
        </w:tc>
        <w:tc>
          <w:tcPr>
            <w:tcW w:w="977" w:type="dxa"/>
            <w:shd w:val="clear" w:color="auto" w:fill="CE8D95"/>
          </w:tcPr>
          <w:p w14:paraId="746D3A39" w14:textId="77777777" w:rsidR="00F766C4" w:rsidRDefault="00F766C4">
            <w:pPr>
              <w:pStyle w:val="TableParagraph"/>
              <w:spacing w:line="278" w:lineRule="auto"/>
              <w:ind w:right="108" w:hanging="3"/>
              <w:jc w:val="center"/>
              <w:rPr>
                <w:b/>
                <w:sz w:val="18"/>
              </w:rPr>
            </w:pPr>
            <w:r>
              <w:rPr>
                <w:b/>
                <w:spacing w:val="-4"/>
                <w:sz w:val="18"/>
              </w:rPr>
              <w:t xml:space="preserve">Fund </w:t>
            </w:r>
            <w:r>
              <w:rPr>
                <w:b/>
                <w:spacing w:val="-2"/>
                <w:sz w:val="18"/>
              </w:rPr>
              <w:t xml:space="preserve">value (before </w:t>
            </w:r>
            <w:r>
              <w:rPr>
                <w:b/>
                <w:spacing w:val="-4"/>
                <w:sz w:val="18"/>
              </w:rPr>
              <w:t>charges)</w:t>
            </w:r>
          </w:p>
        </w:tc>
        <w:tc>
          <w:tcPr>
            <w:tcW w:w="980" w:type="dxa"/>
            <w:shd w:val="clear" w:color="auto" w:fill="CE8D95"/>
          </w:tcPr>
          <w:p w14:paraId="1D5F848F" w14:textId="77777777" w:rsidR="00F766C4" w:rsidRDefault="00F766C4">
            <w:pPr>
              <w:pStyle w:val="TableParagraph"/>
              <w:spacing w:line="278" w:lineRule="auto"/>
              <w:ind w:right="111"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82" w:type="dxa"/>
            <w:shd w:val="clear" w:color="auto" w:fill="CE8D95"/>
          </w:tcPr>
          <w:p w14:paraId="746D327F" w14:textId="77777777" w:rsidR="00F766C4" w:rsidRDefault="00F766C4">
            <w:pPr>
              <w:pStyle w:val="TableParagraph"/>
              <w:spacing w:line="278" w:lineRule="auto"/>
              <w:ind w:left="150" w:right="140" w:firstLine="3"/>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c>
          <w:tcPr>
            <w:tcW w:w="978" w:type="dxa"/>
            <w:shd w:val="clear" w:color="auto" w:fill="CE8D95"/>
          </w:tcPr>
          <w:p w14:paraId="1C371618" w14:textId="77777777" w:rsidR="00F766C4" w:rsidRDefault="00F766C4">
            <w:pPr>
              <w:pStyle w:val="TableParagraph"/>
              <w:spacing w:line="278" w:lineRule="auto"/>
              <w:ind w:right="109" w:hanging="3"/>
              <w:jc w:val="center"/>
              <w:rPr>
                <w:b/>
                <w:sz w:val="18"/>
              </w:rPr>
            </w:pPr>
            <w:r>
              <w:rPr>
                <w:b/>
                <w:spacing w:val="-4"/>
                <w:sz w:val="18"/>
              </w:rPr>
              <w:t xml:space="preserve">Fund </w:t>
            </w:r>
            <w:r>
              <w:rPr>
                <w:b/>
                <w:spacing w:val="-2"/>
                <w:sz w:val="18"/>
              </w:rPr>
              <w:t xml:space="preserve">value (before </w:t>
            </w:r>
            <w:r>
              <w:rPr>
                <w:b/>
                <w:spacing w:val="-4"/>
                <w:sz w:val="18"/>
              </w:rPr>
              <w:t>charges)</w:t>
            </w:r>
          </w:p>
        </w:tc>
        <w:tc>
          <w:tcPr>
            <w:tcW w:w="980" w:type="dxa"/>
            <w:shd w:val="clear" w:color="auto" w:fill="CE8D95"/>
          </w:tcPr>
          <w:p w14:paraId="08575630" w14:textId="77777777" w:rsidR="00F766C4" w:rsidRDefault="00F766C4">
            <w:pPr>
              <w:pStyle w:val="TableParagraph"/>
              <w:spacing w:line="278" w:lineRule="auto"/>
              <w:ind w:left="118" w:right="112"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82" w:type="dxa"/>
            <w:shd w:val="clear" w:color="auto" w:fill="CE8D95"/>
          </w:tcPr>
          <w:p w14:paraId="19921D25" w14:textId="77777777" w:rsidR="00F766C4" w:rsidRDefault="00F766C4">
            <w:pPr>
              <w:pStyle w:val="TableParagraph"/>
              <w:spacing w:line="278" w:lineRule="auto"/>
              <w:ind w:left="148" w:right="142" w:firstLine="3"/>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c>
          <w:tcPr>
            <w:tcW w:w="980" w:type="dxa"/>
            <w:shd w:val="clear" w:color="auto" w:fill="CE8D95"/>
          </w:tcPr>
          <w:p w14:paraId="1574E6A4" w14:textId="77777777" w:rsidR="00F766C4" w:rsidRDefault="00F766C4">
            <w:pPr>
              <w:pStyle w:val="TableParagraph"/>
              <w:spacing w:line="278" w:lineRule="auto"/>
              <w:ind w:right="111" w:hanging="2"/>
              <w:jc w:val="center"/>
              <w:rPr>
                <w:b/>
                <w:sz w:val="18"/>
              </w:rPr>
            </w:pPr>
            <w:r>
              <w:rPr>
                <w:b/>
                <w:spacing w:val="-4"/>
                <w:sz w:val="18"/>
              </w:rPr>
              <w:t xml:space="preserve">Fund </w:t>
            </w:r>
            <w:r>
              <w:rPr>
                <w:b/>
                <w:spacing w:val="-2"/>
                <w:sz w:val="18"/>
              </w:rPr>
              <w:t xml:space="preserve">value (before </w:t>
            </w:r>
            <w:r>
              <w:rPr>
                <w:b/>
                <w:spacing w:val="-4"/>
                <w:sz w:val="18"/>
              </w:rPr>
              <w:t>charges)</w:t>
            </w:r>
          </w:p>
        </w:tc>
        <w:tc>
          <w:tcPr>
            <w:tcW w:w="979" w:type="dxa"/>
            <w:shd w:val="clear" w:color="auto" w:fill="CE8D95"/>
          </w:tcPr>
          <w:p w14:paraId="40C0DF05" w14:textId="77777777" w:rsidR="00F766C4" w:rsidRDefault="00F766C4">
            <w:pPr>
              <w:pStyle w:val="TableParagraph"/>
              <w:spacing w:line="278" w:lineRule="auto"/>
              <w:ind w:right="110" w:hanging="3"/>
              <w:jc w:val="center"/>
              <w:rPr>
                <w:b/>
                <w:sz w:val="18"/>
              </w:rPr>
            </w:pPr>
            <w:r>
              <w:rPr>
                <w:b/>
                <w:spacing w:val="-4"/>
                <w:sz w:val="18"/>
              </w:rPr>
              <w:t xml:space="preserve">Fund </w:t>
            </w:r>
            <w:r>
              <w:rPr>
                <w:b/>
                <w:spacing w:val="-2"/>
                <w:sz w:val="18"/>
              </w:rPr>
              <w:t xml:space="preserve">value (after </w:t>
            </w:r>
            <w:r>
              <w:rPr>
                <w:b/>
                <w:spacing w:val="-4"/>
                <w:sz w:val="18"/>
              </w:rPr>
              <w:t>charges)</w:t>
            </w:r>
          </w:p>
        </w:tc>
        <w:tc>
          <w:tcPr>
            <w:tcW w:w="979" w:type="dxa"/>
            <w:shd w:val="clear" w:color="auto" w:fill="CE8D95"/>
          </w:tcPr>
          <w:p w14:paraId="42389A8F" w14:textId="77777777" w:rsidR="00F766C4" w:rsidRDefault="00F766C4">
            <w:pPr>
              <w:pStyle w:val="TableParagraph"/>
              <w:spacing w:line="278" w:lineRule="auto"/>
              <w:ind w:left="148" w:right="140" w:hanging="2"/>
              <w:jc w:val="center"/>
              <w:rPr>
                <w:b/>
                <w:sz w:val="18"/>
              </w:rPr>
            </w:pPr>
            <w:r>
              <w:rPr>
                <w:b/>
                <w:spacing w:val="-2"/>
                <w:sz w:val="18"/>
              </w:rPr>
              <w:t xml:space="preserve">Impact </w:t>
            </w:r>
            <w:r>
              <w:rPr>
                <w:b/>
                <w:spacing w:val="-6"/>
                <w:sz w:val="18"/>
              </w:rPr>
              <w:t xml:space="preserve">of </w:t>
            </w:r>
            <w:r>
              <w:rPr>
                <w:b/>
                <w:spacing w:val="-4"/>
                <w:sz w:val="18"/>
              </w:rPr>
              <w:t xml:space="preserve">charges </w:t>
            </w:r>
            <w:r>
              <w:rPr>
                <w:b/>
                <w:sz w:val="18"/>
              </w:rPr>
              <w:t>on</w:t>
            </w:r>
            <w:r>
              <w:rPr>
                <w:b/>
                <w:spacing w:val="-13"/>
                <w:sz w:val="18"/>
              </w:rPr>
              <w:t xml:space="preserve"> </w:t>
            </w:r>
            <w:r>
              <w:rPr>
                <w:b/>
                <w:sz w:val="18"/>
              </w:rPr>
              <w:t xml:space="preserve">fund </w:t>
            </w:r>
            <w:r>
              <w:rPr>
                <w:b/>
                <w:spacing w:val="-2"/>
                <w:sz w:val="18"/>
              </w:rPr>
              <w:t>value</w:t>
            </w:r>
          </w:p>
        </w:tc>
      </w:tr>
      <w:tr w:rsidR="001F49FF" w:rsidRPr="006F1380" w14:paraId="689424A6" w14:textId="77777777" w:rsidTr="001F49FF">
        <w:trPr>
          <w:trHeight w:val="359"/>
        </w:trPr>
        <w:tc>
          <w:tcPr>
            <w:tcW w:w="979" w:type="dxa"/>
            <w:tcBorders>
              <w:top w:val="nil"/>
              <w:left w:val="nil"/>
              <w:bottom w:val="nil"/>
              <w:right w:val="nil"/>
            </w:tcBorders>
          </w:tcPr>
          <w:p w14:paraId="303A7FF4" w14:textId="4BF71392" w:rsidR="001F49FF" w:rsidRDefault="001F49FF" w:rsidP="001F49FF">
            <w:pPr>
              <w:pStyle w:val="TableParagraph"/>
              <w:rPr>
                <w:sz w:val="18"/>
              </w:rPr>
            </w:pPr>
            <w:r>
              <w:rPr>
                <w:color w:val="000000"/>
                <w:sz w:val="16"/>
                <w:szCs w:val="16"/>
              </w:rPr>
              <w:t>42</w:t>
            </w:r>
          </w:p>
        </w:tc>
        <w:tc>
          <w:tcPr>
            <w:tcW w:w="977" w:type="dxa"/>
            <w:tcBorders>
              <w:top w:val="nil"/>
              <w:left w:val="nil"/>
              <w:bottom w:val="nil"/>
              <w:right w:val="nil"/>
            </w:tcBorders>
          </w:tcPr>
          <w:p w14:paraId="4F4B87A2" w14:textId="590B4ACE" w:rsidR="001F49FF" w:rsidRPr="006F1380" w:rsidRDefault="001F49FF" w:rsidP="001F49FF">
            <w:pPr>
              <w:pStyle w:val="TableParagraph"/>
              <w:spacing w:before="116"/>
              <w:rPr>
                <w:sz w:val="16"/>
                <w:highlight w:val="lightGray"/>
              </w:rPr>
            </w:pPr>
            <w:r>
              <w:rPr>
                <w:color w:val="000000"/>
                <w:sz w:val="16"/>
                <w:szCs w:val="16"/>
              </w:rPr>
              <w:t>£21,368</w:t>
            </w:r>
          </w:p>
        </w:tc>
        <w:tc>
          <w:tcPr>
            <w:tcW w:w="980" w:type="dxa"/>
            <w:tcBorders>
              <w:top w:val="nil"/>
              <w:left w:val="nil"/>
              <w:bottom w:val="nil"/>
              <w:right w:val="nil"/>
            </w:tcBorders>
          </w:tcPr>
          <w:p w14:paraId="1F9F4372" w14:textId="2141B341" w:rsidR="001F49FF" w:rsidRPr="006F1380" w:rsidRDefault="001F49FF" w:rsidP="001F49FF">
            <w:pPr>
              <w:pStyle w:val="TableParagraph"/>
              <w:spacing w:before="116"/>
              <w:rPr>
                <w:sz w:val="16"/>
                <w:highlight w:val="lightGray"/>
              </w:rPr>
            </w:pPr>
            <w:r>
              <w:rPr>
                <w:color w:val="000000"/>
                <w:sz w:val="16"/>
                <w:szCs w:val="16"/>
              </w:rPr>
              <w:t>£21,313</w:t>
            </w:r>
          </w:p>
        </w:tc>
        <w:tc>
          <w:tcPr>
            <w:tcW w:w="982" w:type="dxa"/>
            <w:tcBorders>
              <w:top w:val="nil"/>
              <w:left w:val="nil"/>
              <w:bottom w:val="nil"/>
              <w:right w:val="nil"/>
            </w:tcBorders>
          </w:tcPr>
          <w:p w14:paraId="3BEB2DFA" w14:textId="70868619" w:rsidR="001F49FF" w:rsidRPr="006F1380" w:rsidRDefault="001F49FF" w:rsidP="001F49FF">
            <w:pPr>
              <w:pStyle w:val="TableParagraph"/>
              <w:spacing w:before="116"/>
              <w:rPr>
                <w:sz w:val="16"/>
                <w:highlight w:val="lightGray"/>
              </w:rPr>
            </w:pPr>
            <w:r>
              <w:rPr>
                <w:color w:val="000000"/>
                <w:sz w:val="16"/>
                <w:szCs w:val="16"/>
              </w:rPr>
              <w:t>£55</w:t>
            </w:r>
          </w:p>
        </w:tc>
        <w:tc>
          <w:tcPr>
            <w:tcW w:w="978" w:type="dxa"/>
            <w:tcBorders>
              <w:top w:val="nil"/>
              <w:left w:val="nil"/>
              <w:bottom w:val="nil"/>
              <w:right w:val="nil"/>
            </w:tcBorders>
          </w:tcPr>
          <w:p w14:paraId="484FA730" w14:textId="73D363D7" w:rsidR="001F49FF" w:rsidRPr="006F1380" w:rsidRDefault="001F49FF" w:rsidP="001F49FF">
            <w:pPr>
              <w:pStyle w:val="TableParagraph"/>
              <w:spacing w:before="116"/>
              <w:rPr>
                <w:sz w:val="16"/>
                <w:highlight w:val="lightGray"/>
              </w:rPr>
            </w:pPr>
            <w:r>
              <w:rPr>
                <w:color w:val="000000"/>
                <w:sz w:val="16"/>
                <w:szCs w:val="16"/>
              </w:rPr>
              <w:t>£21,510</w:t>
            </w:r>
          </w:p>
        </w:tc>
        <w:tc>
          <w:tcPr>
            <w:tcW w:w="980" w:type="dxa"/>
            <w:tcBorders>
              <w:top w:val="nil"/>
              <w:left w:val="nil"/>
              <w:bottom w:val="nil"/>
              <w:right w:val="nil"/>
            </w:tcBorders>
          </w:tcPr>
          <w:p w14:paraId="32CDAE56" w14:textId="0FAA2B91" w:rsidR="001F49FF" w:rsidRPr="006F1380" w:rsidRDefault="001F49FF" w:rsidP="001F49FF">
            <w:pPr>
              <w:pStyle w:val="TableParagraph"/>
              <w:spacing w:before="116"/>
              <w:ind w:left="118"/>
              <w:rPr>
                <w:sz w:val="16"/>
                <w:highlight w:val="lightGray"/>
              </w:rPr>
            </w:pPr>
            <w:r>
              <w:rPr>
                <w:color w:val="000000"/>
                <w:sz w:val="16"/>
                <w:szCs w:val="16"/>
              </w:rPr>
              <w:t>£21,420</w:t>
            </w:r>
          </w:p>
        </w:tc>
        <w:tc>
          <w:tcPr>
            <w:tcW w:w="982" w:type="dxa"/>
            <w:tcBorders>
              <w:top w:val="nil"/>
              <w:left w:val="nil"/>
              <w:bottom w:val="nil"/>
              <w:right w:val="nil"/>
            </w:tcBorders>
          </w:tcPr>
          <w:p w14:paraId="17A5E12D" w14:textId="0E5601EA" w:rsidR="001F49FF" w:rsidRPr="006F1380" w:rsidRDefault="001F49FF" w:rsidP="001F49FF">
            <w:pPr>
              <w:pStyle w:val="TableParagraph"/>
              <w:spacing w:before="116"/>
              <w:ind w:left="117"/>
              <w:rPr>
                <w:sz w:val="16"/>
                <w:highlight w:val="lightGray"/>
              </w:rPr>
            </w:pPr>
            <w:r>
              <w:rPr>
                <w:color w:val="000000"/>
                <w:sz w:val="16"/>
                <w:szCs w:val="16"/>
              </w:rPr>
              <w:t>£90</w:t>
            </w:r>
          </w:p>
        </w:tc>
        <w:tc>
          <w:tcPr>
            <w:tcW w:w="980" w:type="dxa"/>
            <w:tcBorders>
              <w:top w:val="nil"/>
              <w:left w:val="nil"/>
              <w:bottom w:val="nil"/>
              <w:right w:val="nil"/>
            </w:tcBorders>
          </w:tcPr>
          <w:p w14:paraId="51BC3D35" w14:textId="1494363E" w:rsidR="001F49FF" w:rsidRPr="006F1380" w:rsidRDefault="001F49FF" w:rsidP="001F49FF">
            <w:pPr>
              <w:pStyle w:val="TableParagraph"/>
              <w:spacing w:before="116"/>
              <w:ind w:left="117"/>
              <w:rPr>
                <w:sz w:val="16"/>
                <w:highlight w:val="lightGray"/>
              </w:rPr>
            </w:pPr>
            <w:r>
              <w:rPr>
                <w:color w:val="000000"/>
                <w:sz w:val="16"/>
                <w:szCs w:val="16"/>
              </w:rPr>
              <w:t>£21,510</w:t>
            </w:r>
          </w:p>
        </w:tc>
        <w:tc>
          <w:tcPr>
            <w:tcW w:w="979" w:type="dxa"/>
            <w:tcBorders>
              <w:top w:val="nil"/>
              <w:left w:val="nil"/>
              <w:bottom w:val="nil"/>
              <w:right w:val="nil"/>
            </w:tcBorders>
          </w:tcPr>
          <w:p w14:paraId="3D850D7E" w14:textId="14F19FE6" w:rsidR="001F49FF" w:rsidRPr="006F1380" w:rsidRDefault="001F49FF" w:rsidP="001F49FF">
            <w:pPr>
              <w:pStyle w:val="TableParagraph"/>
              <w:spacing w:before="116"/>
              <w:ind w:left="116"/>
              <w:rPr>
                <w:sz w:val="16"/>
                <w:highlight w:val="lightGray"/>
              </w:rPr>
            </w:pPr>
            <w:r>
              <w:rPr>
                <w:color w:val="000000"/>
                <w:sz w:val="16"/>
                <w:szCs w:val="16"/>
              </w:rPr>
              <w:t>£21,480</w:t>
            </w:r>
          </w:p>
        </w:tc>
        <w:tc>
          <w:tcPr>
            <w:tcW w:w="979" w:type="dxa"/>
            <w:tcBorders>
              <w:top w:val="nil"/>
              <w:left w:val="nil"/>
              <w:bottom w:val="nil"/>
              <w:right w:val="nil"/>
            </w:tcBorders>
          </w:tcPr>
          <w:p w14:paraId="3463828D" w14:textId="148FF6F3" w:rsidR="001F49FF" w:rsidRPr="006F1380" w:rsidRDefault="001F49FF" w:rsidP="001F49FF">
            <w:pPr>
              <w:pStyle w:val="TableParagraph"/>
              <w:spacing w:before="116"/>
              <w:ind w:left="117"/>
              <w:rPr>
                <w:sz w:val="16"/>
                <w:highlight w:val="lightGray"/>
              </w:rPr>
            </w:pPr>
            <w:r>
              <w:rPr>
                <w:color w:val="000000"/>
                <w:sz w:val="16"/>
                <w:szCs w:val="16"/>
              </w:rPr>
              <w:t>£30</w:t>
            </w:r>
          </w:p>
        </w:tc>
      </w:tr>
      <w:tr w:rsidR="001F49FF" w:rsidRPr="006F1380" w14:paraId="782A0B2D" w14:textId="77777777" w:rsidTr="001F49FF">
        <w:trPr>
          <w:trHeight w:val="359"/>
        </w:trPr>
        <w:tc>
          <w:tcPr>
            <w:tcW w:w="979" w:type="dxa"/>
            <w:tcBorders>
              <w:top w:val="nil"/>
              <w:left w:val="nil"/>
              <w:bottom w:val="nil"/>
              <w:right w:val="nil"/>
            </w:tcBorders>
          </w:tcPr>
          <w:p w14:paraId="164EF4CF" w14:textId="72018B30" w:rsidR="001F49FF" w:rsidRDefault="001F49FF" w:rsidP="001F49FF">
            <w:pPr>
              <w:pStyle w:val="TableParagraph"/>
              <w:rPr>
                <w:sz w:val="18"/>
              </w:rPr>
            </w:pPr>
            <w:r>
              <w:rPr>
                <w:color w:val="000000"/>
                <w:sz w:val="16"/>
                <w:szCs w:val="16"/>
              </w:rPr>
              <w:t>44</w:t>
            </w:r>
          </w:p>
        </w:tc>
        <w:tc>
          <w:tcPr>
            <w:tcW w:w="977" w:type="dxa"/>
            <w:tcBorders>
              <w:top w:val="nil"/>
              <w:left w:val="nil"/>
              <w:bottom w:val="nil"/>
              <w:right w:val="nil"/>
            </w:tcBorders>
          </w:tcPr>
          <w:p w14:paraId="6E127061" w14:textId="40459225" w:rsidR="001F49FF" w:rsidRPr="006F1380" w:rsidRDefault="001F49FF" w:rsidP="001F49FF">
            <w:pPr>
              <w:pStyle w:val="TableParagraph"/>
              <w:spacing w:before="116"/>
              <w:rPr>
                <w:sz w:val="16"/>
                <w:highlight w:val="lightGray"/>
              </w:rPr>
            </w:pPr>
            <w:r>
              <w:rPr>
                <w:color w:val="000000"/>
                <w:sz w:val="16"/>
                <w:szCs w:val="16"/>
              </w:rPr>
              <w:t>£22,552</w:t>
            </w:r>
          </w:p>
        </w:tc>
        <w:tc>
          <w:tcPr>
            <w:tcW w:w="980" w:type="dxa"/>
            <w:tcBorders>
              <w:top w:val="nil"/>
              <w:left w:val="nil"/>
              <w:bottom w:val="nil"/>
              <w:right w:val="nil"/>
            </w:tcBorders>
          </w:tcPr>
          <w:p w14:paraId="546E2882" w14:textId="480469E3" w:rsidR="001F49FF" w:rsidRPr="006F1380" w:rsidRDefault="001F49FF" w:rsidP="001F49FF">
            <w:pPr>
              <w:pStyle w:val="TableParagraph"/>
              <w:spacing w:before="116"/>
              <w:rPr>
                <w:sz w:val="16"/>
                <w:highlight w:val="lightGray"/>
              </w:rPr>
            </w:pPr>
            <w:r>
              <w:rPr>
                <w:color w:val="000000"/>
                <w:sz w:val="16"/>
                <w:szCs w:val="16"/>
              </w:rPr>
              <w:t>£22,376</w:t>
            </w:r>
          </w:p>
        </w:tc>
        <w:tc>
          <w:tcPr>
            <w:tcW w:w="982" w:type="dxa"/>
            <w:tcBorders>
              <w:top w:val="nil"/>
              <w:left w:val="nil"/>
              <w:bottom w:val="nil"/>
              <w:right w:val="nil"/>
            </w:tcBorders>
          </w:tcPr>
          <w:p w14:paraId="2114D307" w14:textId="6C5EF823" w:rsidR="001F49FF" w:rsidRPr="006F1380" w:rsidRDefault="001F49FF" w:rsidP="001F49FF">
            <w:pPr>
              <w:pStyle w:val="TableParagraph"/>
              <w:spacing w:before="116"/>
              <w:rPr>
                <w:sz w:val="16"/>
                <w:highlight w:val="lightGray"/>
              </w:rPr>
            </w:pPr>
            <w:r>
              <w:rPr>
                <w:color w:val="000000"/>
                <w:sz w:val="16"/>
                <w:szCs w:val="16"/>
              </w:rPr>
              <w:t>£176</w:t>
            </w:r>
          </w:p>
        </w:tc>
        <w:tc>
          <w:tcPr>
            <w:tcW w:w="978" w:type="dxa"/>
            <w:tcBorders>
              <w:top w:val="nil"/>
              <w:left w:val="nil"/>
              <w:bottom w:val="nil"/>
              <w:right w:val="nil"/>
            </w:tcBorders>
          </w:tcPr>
          <w:p w14:paraId="36F0782E" w14:textId="12624C48" w:rsidR="001F49FF" w:rsidRPr="006F1380" w:rsidRDefault="001F49FF" w:rsidP="001F49FF">
            <w:pPr>
              <w:pStyle w:val="TableParagraph"/>
              <w:spacing w:before="116"/>
              <w:rPr>
                <w:sz w:val="16"/>
                <w:highlight w:val="lightGray"/>
              </w:rPr>
            </w:pPr>
            <w:r>
              <w:rPr>
                <w:color w:val="000000"/>
                <w:sz w:val="16"/>
                <w:szCs w:val="16"/>
              </w:rPr>
              <w:t>£23,004</w:t>
            </w:r>
          </w:p>
        </w:tc>
        <w:tc>
          <w:tcPr>
            <w:tcW w:w="980" w:type="dxa"/>
            <w:tcBorders>
              <w:top w:val="nil"/>
              <w:left w:val="nil"/>
              <w:bottom w:val="nil"/>
              <w:right w:val="nil"/>
            </w:tcBorders>
          </w:tcPr>
          <w:p w14:paraId="423F3EDF" w14:textId="6015197B" w:rsidR="001F49FF" w:rsidRPr="006F1380" w:rsidRDefault="001F49FF" w:rsidP="001F49FF">
            <w:pPr>
              <w:pStyle w:val="TableParagraph"/>
              <w:spacing w:before="116"/>
              <w:ind w:left="118"/>
              <w:rPr>
                <w:sz w:val="16"/>
                <w:highlight w:val="lightGray"/>
              </w:rPr>
            </w:pPr>
            <w:r>
              <w:rPr>
                <w:color w:val="000000"/>
                <w:sz w:val="16"/>
                <w:szCs w:val="16"/>
              </w:rPr>
              <w:t>£22,716</w:t>
            </w:r>
          </w:p>
        </w:tc>
        <w:tc>
          <w:tcPr>
            <w:tcW w:w="982" w:type="dxa"/>
            <w:tcBorders>
              <w:top w:val="nil"/>
              <w:left w:val="nil"/>
              <w:bottom w:val="nil"/>
              <w:right w:val="nil"/>
            </w:tcBorders>
          </w:tcPr>
          <w:p w14:paraId="0F5BD9C4" w14:textId="247F6DC9" w:rsidR="001F49FF" w:rsidRPr="006F1380" w:rsidRDefault="001F49FF" w:rsidP="001F49FF">
            <w:pPr>
              <w:pStyle w:val="TableParagraph"/>
              <w:spacing w:before="116"/>
              <w:ind w:left="117"/>
              <w:rPr>
                <w:sz w:val="16"/>
                <w:highlight w:val="lightGray"/>
              </w:rPr>
            </w:pPr>
            <w:r>
              <w:rPr>
                <w:color w:val="000000"/>
                <w:sz w:val="16"/>
                <w:szCs w:val="16"/>
              </w:rPr>
              <w:t>£288</w:t>
            </w:r>
          </w:p>
        </w:tc>
        <w:tc>
          <w:tcPr>
            <w:tcW w:w="980" w:type="dxa"/>
            <w:tcBorders>
              <w:top w:val="nil"/>
              <w:left w:val="nil"/>
              <w:bottom w:val="nil"/>
              <w:right w:val="nil"/>
            </w:tcBorders>
          </w:tcPr>
          <w:p w14:paraId="51BDE521" w14:textId="47A3734A" w:rsidR="001F49FF" w:rsidRPr="006F1380" w:rsidRDefault="001F49FF" w:rsidP="001F49FF">
            <w:pPr>
              <w:pStyle w:val="TableParagraph"/>
              <w:spacing w:before="116"/>
              <w:ind w:left="117"/>
              <w:rPr>
                <w:sz w:val="16"/>
                <w:highlight w:val="lightGray"/>
              </w:rPr>
            </w:pPr>
            <w:r>
              <w:rPr>
                <w:color w:val="000000"/>
                <w:sz w:val="16"/>
                <w:szCs w:val="16"/>
              </w:rPr>
              <w:t>£23,004</w:t>
            </w:r>
          </w:p>
        </w:tc>
        <w:tc>
          <w:tcPr>
            <w:tcW w:w="979" w:type="dxa"/>
            <w:tcBorders>
              <w:top w:val="nil"/>
              <w:left w:val="nil"/>
              <w:bottom w:val="nil"/>
              <w:right w:val="nil"/>
            </w:tcBorders>
          </w:tcPr>
          <w:p w14:paraId="7D0C1447" w14:textId="648AAB5B" w:rsidR="001F49FF" w:rsidRPr="006F1380" w:rsidRDefault="001F49FF" w:rsidP="001F49FF">
            <w:pPr>
              <w:pStyle w:val="TableParagraph"/>
              <w:spacing w:before="116"/>
              <w:ind w:left="116"/>
              <w:rPr>
                <w:sz w:val="16"/>
                <w:highlight w:val="lightGray"/>
              </w:rPr>
            </w:pPr>
            <w:r>
              <w:rPr>
                <w:color w:val="000000"/>
                <w:sz w:val="16"/>
                <w:szCs w:val="16"/>
              </w:rPr>
              <w:t>£22,908</w:t>
            </w:r>
          </w:p>
        </w:tc>
        <w:tc>
          <w:tcPr>
            <w:tcW w:w="979" w:type="dxa"/>
            <w:tcBorders>
              <w:top w:val="nil"/>
              <w:left w:val="nil"/>
              <w:bottom w:val="nil"/>
              <w:right w:val="nil"/>
            </w:tcBorders>
          </w:tcPr>
          <w:p w14:paraId="5372DA35" w14:textId="36DCBB38" w:rsidR="001F49FF" w:rsidRPr="006F1380" w:rsidRDefault="001F49FF" w:rsidP="001F49FF">
            <w:pPr>
              <w:pStyle w:val="TableParagraph"/>
              <w:spacing w:before="116"/>
              <w:ind w:left="117"/>
              <w:rPr>
                <w:sz w:val="16"/>
                <w:highlight w:val="lightGray"/>
              </w:rPr>
            </w:pPr>
            <w:r>
              <w:rPr>
                <w:color w:val="000000"/>
                <w:sz w:val="16"/>
                <w:szCs w:val="16"/>
              </w:rPr>
              <w:t>£96</w:t>
            </w:r>
          </w:p>
        </w:tc>
      </w:tr>
      <w:tr w:rsidR="001F49FF" w:rsidRPr="006F1380" w14:paraId="441452E2" w14:textId="77777777" w:rsidTr="001F49FF">
        <w:trPr>
          <w:trHeight w:val="362"/>
        </w:trPr>
        <w:tc>
          <w:tcPr>
            <w:tcW w:w="979" w:type="dxa"/>
            <w:tcBorders>
              <w:top w:val="nil"/>
              <w:left w:val="nil"/>
              <w:bottom w:val="nil"/>
              <w:right w:val="nil"/>
            </w:tcBorders>
          </w:tcPr>
          <w:p w14:paraId="7FFBBB13" w14:textId="4D07222B" w:rsidR="001F49FF" w:rsidRDefault="001F49FF" w:rsidP="001F49FF">
            <w:pPr>
              <w:pStyle w:val="TableParagraph"/>
              <w:spacing w:before="95"/>
              <w:rPr>
                <w:sz w:val="18"/>
              </w:rPr>
            </w:pPr>
            <w:r>
              <w:rPr>
                <w:color w:val="000000"/>
                <w:sz w:val="16"/>
                <w:szCs w:val="16"/>
              </w:rPr>
              <w:t>46</w:t>
            </w:r>
          </w:p>
        </w:tc>
        <w:tc>
          <w:tcPr>
            <w:tcW w:w="977" w:type="dxa"/>
            <w:tcBorders>
              <w:top w:val="nil"/>
              <w:left w:val="nil"/>
              <w:bottom w:val="nil"/>
              <w:right w:val="nil"/>
            </w:tcBorders>
          </w:tcPr>
          <w:p w14:paraId="7744C04F" w14:textId="25B6A8C2" w:rsidR="001F49FF" w:rsidRPr="006F1380" w:rsidRDefault="001F49FF" w:rsidP="001F49FF">
            <w:pPr>
              <w:pStyle w:val="TableParagraph"/>
              <w:spacing w:before="119"/>
              <w:rPr>
                <w:sz w:val="16"/>
                <w:highlight w:val="lightGray"/>
              </w:rPr>
            </w:pPr>
            <w:r>
              <w:rPr>
                <w:color w:val="000000"/>
                <w:sz w:val="16"/>
                <w:szCs w:val="16"/>
              </w:rPr>
              <w:t>£23,800</w:t>
            </w:r>
          </w:p>
        </w:tc>
        <w:tc>
          <w:tcPr>
            <w:tcW w:w="980" w:type="dxa"/>
            <w:tcBorders>
              <w:top w:val="nil"/>
              <w:left w:val="nil"/>
              <w:bottom w:val="nil"/>
              <w:right w:val="nil"/>
            </w:tcBorders>
          </w:tcPr>
          <w:p w14:paraId="23929302" w14:textId="6B74EBD9" w:rsidR="001F49FF" w:rsidRPr="006F1380" w:rsidRDefault="001F49FF" w:rsidP="001F49FF">
            <w:pPr>
              <w:pStyle w:val="TableParagraph"/>
              <w:spacing w:before="119"/>
              <w:rPr>
                <w:sz w:val="16"/>
                <w:highlight w:val="lightGray"/>
              </w:rPr>
            </w:pPr>
            <w:r>
              <w:rPr>
                <w:color w:val="000000"/>
                <w:sz w:val="16"/>
                <w:szCs w:val="16"/>
              </w:rPr>
              <w:t>£23,493</w:t>
            </w:r>
          </w:p>
        </w:tc>
        <w:tc>
          <w:tcPr>
            <w:tcW w:w="982" w:type="dxa"/>
            <w:tcBorders>
              <w:top w:val="nil"/>
              <w:left w:val="nil"/>
              <w:bottom w:val="nil"/>
              <w:right w:val="nil"/>
            </w:tcBorders>
          </w:tcPr>
          <w:p w14:paraId="491E7464" w14:textId="7F88C7B5" w:rsidR="001F49FF" w:rsidRPr="006F1380" w:rsidRDefault="001F49FF" w:rsidP="001F49FF">
            <w:pPr>
              <w:pStyle w:val="TableParagraph"/>
              <w:spacing w:before="119"/>
              <w:rPr>
                <w:sz w:val="16"/>
                <w:highlight w:val="lightGray"/>
              </w:rPr>
            </w:pPr>
            <w:r>
              <w:rPr>
                <w:color w:val="000000"/>
                <w:sz w:val="16"/>
                <w:szCs w:val="16"/>
              </w:rPr>
              <w:t>£307</w:t>
            </w:r>
          </w:p>
        </w:tc>
        <w:tc>
          <w:tcPr>
            <w:tcW w:w="978" w:type="dxa"/>
            <w:tcBorders>
              <w:top w:val="nil"/>
              <w:left w:val="nil"/>
              <w:bottom w:val="nil"/>
              <w:right w:val="nil"/>
            </w:tcBorders>
          </w:tcPr>
          <w:p w14:paraId="3063F0CD" w14:textId="3D626FE7" w:rsidR="001F49FF" w:rsidRPr="006F1380" w:rsidRDefault="001F49FF" w:rsidP="001F49FF">
            <w:pPr>
              <w:pStyle w:val="TableParagraph"/>
              <w:spacing w:before="119"/>
              <w:rPr>
                <w:sz w:val="16"/>
                <w:highlight w:val="lightGray"/>
              </w:rPr>
            </w:pPr>
            <w:r>
              <w:rPr>
                <w:color w:val="000000"/>
                <w:sz w:val="16"/>
                <w:szCs w:val="16"/>
              </w:rPr>
              <w:t>£24,602</w:t>
            </w:r>
          </w:p>
        </w:tc>
        <w:tc>
          <w:tcPr>
            <w:tcW w:w="980" w:type="dxa"/>
            <w:tcBorders>
              <w:top w:val="nil"/>
              <w:left w:val="nil"/>
              <w:bottom w:val="nil"/>
              <w:right w:val="nil"/>
            </w:tcBorders>
          </w:tcPr>
          <w:p w14:paraId="0519C576" w14:textId="046BC238" w:rsidR="001F49FF" w:rsidRPr="006F1380" w:rsidRDefault="001F49FF" w:rsidP="001F49FF">
            <w:pPr>
              <w:pStyle w:val="TableParagraph"/>
              <w:spacing w:before="119"/>
              <w:ind w:left="118"/>
              <w:rPr>
                <w:sz w:val="16"/>
                <w:highlight w:val="lightGray"/>
              </w:rPr>
            </w:pPr>
            <w:r>
              <w:rPr>
                <w:color w:val="000000"/>
                <w:sz w:val="16"/>
                <w:szCs w:val="16"/>
              </w:rPr>
              <w:t>£24,091</w:t>
            </w:r>
          </w:p>
        </w:tc>
        <w:tc>
          <w:tcPr>
            <w:tcW w:w="982" w:type="dxa"/>
            <w:tcBorders>
              <w:top w:val="nil"/>
              <w:left w:val="nil"/>
              <w:bottom w:val="nil"/>
              <w:right w:val="nil"/>
            </w:tcBorders>
          </w:tcPr>
          <w:p w14:paraId="48B9034D" w14:textId="350694E4" w:rsidR="001F49FF" w:rsidRPr="006F1380" w:rsidRDefault="001F49FF" w:rsidP="001F49FF">
            <w:pPr>
              <w:pStyle w:val="TableParagraph"/>
              <w:spacing w:before="119"/>
              <w:ind w:left="117"/>
              <w:rPr>
                <w:sz w:val="16"/>
                <w:highlight w:val="lightGray"/>
              </w:rPr>
            </w:pPr>
            <w:r>
              <w:rPr>
                <w:color w:val="000000"/>
                <w:sz w:val="16"/>
                <w:szCs w:val="16"/>
              </w:rPr>
              <w:t>£511</w:t>
            </w:r>
          </w:p>
        </w:tc>
        <w:tc>
          <w:tcPr>
            <w:tcW w:w="980" w:type="dxa"/>
            <w:tcBorders>
              <w:top w:val="nil"/>
              <w:left w:val="nil"/>
              <w:bottom w:val="nil"/>
              <w:right w:val="nil"/>
            </w:tcBorders>
          </w:tcPr>
          <w:p w14:paraId="7CC08D17" w14:textId="588AD1A8" w:rsidR="001F49FF" w:rsidRPr="006F1380" w:rsidRDefault="001F49FF" w:rsidP="001F49FF">
            <w:pPr>
              <w:pStyle w:val="TableParagraph"/>
              <w:spacing w:before="119"/>
              <w:ind w:left="117"/>
              <w:rPr>
                <w:sz w:val="16"/>
                <w:highlight w:val="lightGray"/>
              </w:rPr>
            </w:pPr>
            <w:r>
              <w:rPr>
                <w:color w:val="000000"/>
                <w:sz w:val="16"/>
                <w:szCs w:val="16"/>
              </w:rPr>
              <w:t>£24,602</w:t>
            </w:r>
          </w:p>
        </w:tc>
        <w:tc>
          <w:tcPr>
            <w:tcW w:w="979" w:type="dxa"/>
            <w:tcBorders>
              <w:top w:val="nil"/>
              <w:left w:val="nil"/>
              <w:bottom w:val="nil"/>
              <w:right w:val="nil"/>
            </w:tcBorders>
          </w:tcPr>
          <w:p w14:paraId="01F1AFAF" w14:textId="609A0A46" w:rsidR="001F49FF" w:rsidRPr="006F1380" w:rsidRDefault="001F49FF" w:rsidP="001F49FF">
            <w:pPr>
              <w:pStyle w:val="TableParagraph"/>
              <w:spacing w:before="119"/>
              <w:ind w:left="116"/>
              <w:rPr>
                <w:sz w:val="16"/>
                <w:highlight w:val="lightGray"/>
              </w:rPr>
            </w:pPr>
            <w:r>
              <w:rPr>
                <w:color w:val="000000"/>
                <w:sz w:val="16"/>
                <w:szCs w:val="16"/>
              </w:rPr>
              <w:t>£24,431</w:t>
            </w:r>
          </w:p>
        </w:tc>
        <w:tc>
          <w:tcPr>
            <w:tcW w:w="979" w:type="dxa"/>
            <w:tcBorders>
              <w:top w:val="nil"/>
              <w:left w:val="nil"/>
              <w:bottom w:val="nil"/>
              <w:right w:val="nil"/>
            </w:tcBorders>
          </w:tcPr>
          <w:p w14:paraId="2FED77A9" w14:textId="1088FD05" w:rsidR="001F49FF" w:rsidRPr="006F1380" w:rsidRDefault="001F49FF" w:rsidP="001F49FF">
            <w:pPr>
              <w:pStyle w:val="TableParagraph"/>
              <w:spacing w:before="119"/>
              <w:ind w:left="117"/>
              <w:rPr>
                <w:sz w:val="16"/>
                <w:highlight w:val="lightGray"/>
              </w:rPr>
            </w:pPr>
            <w:r>
              <w:rPr>
                <w:color w:val="000000"/>
                <w:sz w:val="16"/>
                <w:szCs w:val="16"/>
              </w:rPr>
              <w:t>£171</w:t>
            </w:r>
          </w:p>
        </w:tc>
      </w:tr>
      <w:tr w:rsidR="001F49FF" w:rsidRPr="006F1380" w14:paraId="038DF762" w14:textId="77777777" w:rsidTr="001F49FF">
        <w:trPr>
          <w:trHeight w:val="359"/>
        </w:trPr>
        <w:tc>
          <w:tcPr>
            <w:tcW w:w="979" w:type="dxa"/>
            <w:tcBorders>
              <w:top w:val="nil"/>
              <w:left w:val="nil"/>
              <w:bottom w:val="nil"/>
              <w:right w:val="nil"/>
            </w:tcBorders>
          </w:tcPr>
          <w:p w14:paraId="5ABC7354" w14:textId="725F5745" w:rsidR="001F49FF" w:rsidRDefault="001F49FF" w:rsidP="001F49FF">
            <w:pPr>
              <w:pStyle w:val="TableParagraph"/>
              <w:rPr>
                <w:sz w:val="18"/>
              </w:rPr>
            </w:pPr>
            <w:r>
              <w:rPr>
                <w:color w:val="000000"/>
                <w:sz w:val="16"/>
                <w:szCs w:val="16"/>
              </w:rPr>
              <w:t>51</w:t>
            </w:r>
          </w:p>
        </w:tc>
        <w:tc>
          <w:tcPr>
            <w:tcW w:w="977" w:type="dxa"/>
            <w:tcBorders>
              <w:top w:val="nil"/>
              <w:left w:val="nil"/>
              <w:bottom w:val="nil"/>
              <w:right w:val="nil"/>
            </w:tcBorders>
          </w:tcPr>
          <w:p w14:paraId="0AA14572" w14:textId="4EA3E395" w:rsidR="001F49FF" w:rsidRPr="006F1380" w:rsidRDefault="001F49FF" w:rsidP="001F49FF">
            <w:pPr>
              <w:pStyle w:val="TableParagraph"/>
              <w:spacing w:before="116"/>
              <w:rPr>
                <w:sz w:val="16"/>
                <w:highlight w:val="lightGray"/>
              </w:rPr>
            </w:pPr>
            <w:r>
              <w:rPr>
                <w:color w:val="000000"/>
                <w:sz w:val="16"/>
                <w:szCs w:val="16"/>
              </w:rPr>
              <w:t>£27,234</w:t>
            </w:r>
          </w:p>
        </w:tc>
        <w:tc>
          <w:tcPr>
            <w:tcW w:w="980" w:type="dxa"/>
            <w:tcBorders>
              <w:top w:val="nil"/>
              <w:left w:val="nil"/>
              <w:bottom w:val="nil"/>
              <w:right w:val="nil"/>
            </w:tcBorders>
          </w:tcPr>
          <w:p w14:paraId="67F1D76A" w14:textId="005EAC2A" w:rsidR="001F49FF" w:rsidRPr="006F1380" w:rsidRDefault="001F49FF" w:rsidP="001F49FF">
            <w:pPr>
              <w:pStyle w:val="TableParagraph"/>
              <w:spacing w:before="116"/>
              <w:rPr>
                <w:sz w:val="16"/>
                <w:highlight w:val="lightGray"/>
              </w:rPr>
            </w:pPr>
            <w:r>
              <w:rPr>
                <w:color w:val="000000"/>
                <w:sz w:val="16"/>
                <w:szCs w:val="16"/>
              </w:rPr>
              <w:t>£26,535</w:t>
            </w:r>
          </w:p>
        </w:tc>
        <w:tc>
          <w:tcPr>
            <w:tcW w:w="982" w:type="dxa"/>
            <w:tcBorders>
              <w:top w:val="nil"/>
              <w:left w:val="nil"/>
              <w:bottom w:val="nil"/>
              <w:right w:val="nil"/>
            </w:tcBorders>
          </w:tcPr>
          <w:p w14:paraId="43E1F5C5" w14:textId="4AFF835A" w:rsidR="001F49FF" w:rsidRPr="006F1380" w:rsidRDefault="001F49FF" w:rsidP="001F49FF">
            <w:pPr>
              <w:pStyle w:val="TableParagraph"/>
              <w:spacing w:before="116"/>
              <w:rPr>
                <w:sz w:val="16"/>
                <w:highlight w:val="lightGray"/>
              </w:rPr>
            </w:pPr>
            <w:r>
              <w:rPr>
                <w:color w:val="000000"/>
                <w:sz w:val="16"/>
                <w:szCs w:val="16"/>
              </w:rPr>
              <w:t>£699</w:t>
            </w:r>
          </w:p>
        </w:tc>
        <w:tc>
          <w:tcPr>
            <w:tcW w:w="978" w:type="dxa"/>
            <w:tcBorders>
              <w:top w:val="nil"/>
              <w:left w:val="nil"/>
              <w:bottom w:val="nil"/>
              <w:right w:val="nil"/>
            </w:tcBorders>
          </w:tcPr>
          <w:p w14:paraId="4E9E4E7F" w14:textId="475EE119" w:rsidR="001F49FF" w:rsidRPr="006F1380" w:rsidRDefault="001F49FF" w:rsidP="001F49FF">
            <w:pPr>
              <w:pStyle w:val="TableParagraph"/>
              <w:spacing w:before="116"/>
              <w:rPr>
                <w:sz w:val="16"/>
                <w:highlight w:val="lightGray"/>
              </w:rPr>
            </w:pPr>
            <w:r>
              <w:rPr>
                <w:color w:val="000000"/>
                <w:sz w:val="16"/>
                <w:szCs w:val="16"/>
              </w:rPr>
              <w:t>£29,099</w:t>
            </w:r>
          </w:p>
        </w:tc>
        <w:tc>
          <w:tcPr>
            <w:tcW w:w="980" w:type="dxa"/>
            <w:tcBorders>
              <w:top w:val="nil"/>
              <w:left w:val="nil"/>
              <w:bottom w:val="nil"/>
              <w:right w:val="nil"/>
            </w:tcBorders>
          </w:tcPr>
          <w:p w14:paraId="2A36465D" w14:textId="1DEE564C" w:rsidR="001F49FF" w:rsidRPr="006F1380" w:rsidRDefault="001F49FF" w:rsidP="001F49FF">
            <w:pPr>
              <w:pStyle w:val="TableParagraph"/>
              <w:spacing w:before="116"/>
              <w:ind w:left="118"/>
              <w:rPr>
                <w:sz w:val="16"/>
                <w:highlight w:val="lightGray"/>
              </w:rPr>
            </w:pPr>
            <w:r>
              <w:rPr>
                <w:color w:val="000000"/>
                <w:sz w:val="16"/>
                <w:szCs w:val="16"/>
              </w:rPr>
              <w:t>£27,902</w:t>
            </w:r>
          </w:p>
        </w:tc>
        <w:tc>
          <w:tcPr>
            <w:tcW w:w="982" w:type="dxa"/>
            <w:tcBorders>
              <w:top w:val="nil"/>
              <w:left w:val="nil"/>
              <w:bottom w:val="nil"/>
              <w:right w:val="nil"/>
            </w:tcBorders>
          </w:tcPr>
          <w:p w14:paraId="7F362AA8" w14:textId="5B716FC2" w:rsidR="001F49FF" w:rsidRPr="006F1380" w:rsidRDefault="001F49FF" w:rsidP="001F49FF">
            <w:pPr>
              <w:pStyle w:val="TableParagraph"/>
              <w:spacing w:before="116"/>
              <w:ind w:left="117"/>
              <w:rPr>
                <w:sz w:val="16"/>
                <w:highlight w:val="lightGray"/>
              </w:rPr>
            </w:pPr>
            <w:r>
              <w:rPr>
                <w:color w:val="000000"/>
                <w:sz w:val="16"/>
                <w:szCs w:val="16"/>
              </w:rPr>
              <w:t>£1,197</w:t>
            </w:r>
          </w:p>
        </w:tc>
        <w:tc>
          <w:tcPr>
            <w:tcW w:w="980" w:type="dxa"/>
            <w:tcBorders>
              <w:top w:val="nil"/>
              <w:left w:val="nil"/>
              <w:bottom w:val="nil"/>
              <w:right w:val="nil"/>
            </w:tcBorders>
          </w:tcPr>
          <w:p w14:paraId="5C0F7D2B" w14:textId="29D950A0" w:rsidR="001F49FF" w:rsidRPr="006F1380" w:rsidRDefault="001F49FF" w:rsidP="001F49FF">
            <w:pPr>
              <w:pStyle w:val="TableParagraph"/>
              <w:spacing w:before="116"/>
              <w:ind w:left="117"/>
              <w:rPr>
                <w:sz w:val="16"/>
                <w:highlight w:val="lightGray"/>
              </w:rPr>
            </w:pPr>
            <w:r>
              <w:rPr>
                <w:color w:val="000000"/>
                <w:sz w:val="16"/>
                <w:szCs w:val="16"/>
              </w:rPr>
              <w:t>£29,099</w:t>
            </w:r>
          </w:p>
        </w:tc>
        <w:tc>
          <w:tcPr>
            <w:tcW w:w="979" w:type="dxa"/>
            <w:tcBorders>
              <w:top w:val="nil"/>
              <w:left w:val="nil"/>
              <w:bottom w:val="nil"/>
              <w:right w:val="nil"/>
            </w:tcBorders>
          </w:tcPr>
          <w:p w14:paraId="5941CA7D" w14:textId="10F6DA3A" w:rsidR="001F49FF" w:rsidRPr="006F1380" w:rsidRDefault="001F49FF" w:rsidP="001F49FF">
            <w:pPr>
              <w:pStyle w:val="TableParagraph"/>
              <w:spacing w:before="116"/>
              <w:ind w:left="116"/>
              <w:rPr>
                <w:sz w:val="16"/>
                <w:highlight w:val="lightGray"/>
              </w:rPr>
            </w:pPr>
            <w:r>
              <w:rPr>
                <w:color w:val="000000"/>
                <w:sz w:val="16"/>
                <w:szCs w:val="16"/>
              </w:rPr>
              <w:t>£28,695</w:t>
            </w:r>
          </w:p>
        </w:tc>
        <w:tc>
          <w:tcPr>
            <w:tcW w:w="979" w:type="dxa"/>
            <w:tcBorders>
              <w:top w:val="nil"/>
              <w:left w:val="nil"/>
              <w:bottom w:val="nil"/>
              <w:right w:val="nil"/>
            </w:tcBorders>
          </w:tcPr>
          <w:p w14:paraId="4C01FE84" w14:textId="691E9D36" w:rsidR="001F49FF" w:rsidRPr="006F1380" w:rsidRDefault="001F49FF" w:rsidP="001F49FF">
            <w:pPr>
              <w:pStyle w:val="TableParagraph"/>
              <w:spacing w:before="116"/>
              <w:ind w:left="117"/>
              <w:rPr>
                <w:sz w:val="16"/>
                <w:highlight w:val="lightGray"/>
              </w:rPr>
            </w:pPr>
            <w:r>
              <w:rPr>
                <w:color w:val="000000"/>
                <w:sz w:val="16"/>
                <w:szCs w:val="16"/>
              </w:rPr>
              <w:t>£404</w:t>
            </w:r>
          </w:p>
        </w:tc>
      </w:tr>
      <w:tr w:rsidR="001F49FF" w:rsidRPr="006F1380" w14:paraId="463DAC7B" w14:textId="77777777" w:rsidTr="001F49FF">
        <w:trPr>
          <w:trHeight w:val="359"/>
        </w:trPr>
        <w:tc>
          <w:tcPr>
            <w:tcW w:w="979" w:type="dxa"/>
            <w:tcBorders>
              <w:top w:val="nil"/>
              <w:left w:val="nil"/>
              <w:bottom w:val="nil"/>
              <w:right w:val="nil"/>
            </w:tcBorders>
          </w:tcPr>
          <w:p w14:paraId="78580D84" w14:textId="56821F05" w:rsidR="001F49FF" w:rsidRDefault="001F49FF" w:rsidP="001F49FF">
            <w:pPr>
              <w:pStyle w:val="TableParagraph"/>
              <w:rPr>
                <w:sz w:val="18"/>
              </w:rPr>
            </w:pPr>
            <w:r>
              <w:rPr>
                <w:color w:val="000000"/>
                <w:sz w:val="16"/>
                <w:szCs w:val="16"/>
              </w:rPr>
              <w:t>61</w:t>
            </w:r>
          </w:p>
        </w:tc>
        <w:tc>
          <w:tcPr>
            <w:tcW w:w="977" w:type="dxa"/>
            <w:tcBorders>
              <w:top w:val="nil"/>
              <w:left w:val="nil"/>
              <w:bottom w:val="nil"/>
              <w:right w:val="nil"/>
            </w:tcBorders>
          </w:tcPr>
          <w:p w14:paraId="650B7384" w14:textId="58ECED10" w:rsidR="001F49FF" w:rsidRPr="006F1380" w:rsidRDefault="001F49FF" w:rsidP="001F49FF">
            <w:pPr>
              <w:pStyle w:val="TableParagraph"/>
              <w:spacing w:before="116"/>
              <w:rPr>
                <w:sz w:val="16"/>
                <w:highlight w:val="lightGray"/>
              </w:rPr>
            </w:pPr>
            <w:r>
              <w:rPr>
                <w:color w:val="000000"/>
                <w:sz w:val="16"/>
                <w:szCs w:val="16"/>
              </w:rPr>
              <w:t>£35,376</w:t>
            </w:r>
          </w:p>
        </w:tc>
        <w:tc>
          <w:tcPr>
            <w:tcW w:w="980" w:type="dxa"/>
            <w:tcBorders>
              <w:top w:val="nil"/>
              <w:left w:val="nil"/>
              <w:bottom w:val="nil"/>
              <w:right w:val="nil"/>
            </w:tcBorders>
          </w:tcPr>
          <w:p w14:paraId="035B84D2" w14:textId="144F6E62" w:rsidR="001F49FF" w:rsidRPr="006F1380" w:rsidRDefault="001F49FF" w:rsidP="001F49FF">
            <w:pPr>
              <w:pStyle w:val="TableParagraph"/>
              <w:spacing w:before="116"/>
              <w:rPr>
                <w:sz w:val="16"/>
                <w:highlight w:val="lightGray"/>
              </w:rPr>
            </w:pPr>
            <w:r>
              <w:rPr>
                <w:color w:val="000000"/>
                <w:sz w:val="16"/>
                <w:szCs w:val="16"/>
              </w:rPr>
              <w:t>£33,583</w:t>
            </w:r>
          </w:p>
        </w:tc>
        <w:tc>
          <w:tcPr>
            <w:tcW w:w="982" w:type="dxa"/>
            <w:tcBorders>
              <w:top w:val="nil"/>
              <w:left w:val="nil"/>
              <w:bottom w:val="nil"/>
              <w:right w:val="nil"/>
            </w:tcBorders>
          </w:tcPr>
          <w:p w14:paraId="6903150C" w14:textId="464A6AD6" w:rsidR="001F49FF" w:rsidRPr="006F1380" w:rsidRDefault="001F49FF" w:rsidP="001F49FF">
            <w:pPr>
              <w:pStyle w:val="TableParagraph"/>
              <w:spacing w:before="116"/>
              <w:rPr>
                <w:sz w:val="16"/>
                <w:highlight w:val="lightGray"/>
              </w:rPr>
            </w:pPr>
            <w:r>
              <w:rPr>
                <w:color w:val="000000"/>
                <w:sz w:val="16"/>
                <w:szCs w:val="16"/>
              </w:rPr>
              <w:t>£1,793</w:t>
            </w:r>
          </w:p>
        </w:tc>
        <w:tc>
          <w:tcPr>
            <w:tcW w:w="978" w:type="dxa"/>
            <w:tcBorders>
              <w:top w:val="nil"/>
              <w:left w:val="nil"/>
              <w:bottom w:val="nil"/>
              <w:right w:val="nil"/>
            </w:tcBorders>
          </w:tcPr>
          <w:p w14:paraId="364B665F" w14:textId="2FF1674A" w:rsidR="001F49FF" w:rsidRPr="006F1380" w:rsidRDefault="001F49FF" w:rsidP="001F49FF">
            <w:pPr>
              <w:pStyle w:val="TableParagraph"/>
              <w:spacing w:before="116"/>
              <w:rPr>
                <w:sz w:val="16"/>
                <w:highlight w:val="lightGray"/>
              </w:rPr>
            </w:pPr>
            <w:r>
              <w:rPr>
                <w:color w:val="000000"/>
                <w:sz w:val="16"/>
                <w:szCs w:val="16"/>
              </w:rPr>
              <w:t>£40,710</w:t>
            </w:r>
          </w:p>
        </w:tc>
        <w:tc>
          <w:tcPr>
            <w:tcW w:w="980" w:type="dxa"/>
            <w:tcBorders>
              <w:top w:val="nil"/>
              <w:left w:val="nil"/>
              <w:bottom w:val="nil"/>
              <w:right w:val="nil"/>
            </w:tcBorders>
          </w:tcPr>
          <w:p w14:paraId="05A30B67" w14:textId="5B1449AA" w:rsidR="001F49FF" w:rsidRPr="006F1380" w:rsidRDefault="001F49FF" w:rsidP="001F49FF">
            <w:pPr>
              <w:pStyle w:val="TableParagraph"/>
              <w:spacing w:before="116"/>
              <w:ind w:left="118"/>
              <w:rPr>
                <w:sz w:val="16"/>
                <w:highlight w:val="lightGray"/>
              </w:rPr>
            </w:pPr>
            <w:r>
              <w:rPr>
                <w:color w:val="000000"/>
                <w:sz w:val="16"/>
                <w:szCs w:val="16"/>
              </w:rPr>
              <w:t>£37,430</w:t>
            </w:r>
          </w:p>
        </w:tc>
        <w:tc>
          <w:tcPr>
            <w:tcW w:w="982" w:type="dxa"/>
            <w:tcBorders>
              <w:top w:val="nil"/>
              <w:left w:val="nil"/>
              <w:bottom w:val="nil"/>
              <w:right w:val="nil"/>
            </w:tcBorders>
          </w:tcPr>
          <w:p w14:paraId="5AF92D6E" w14:textId="345AD90C" w:rsidR="001F49FF" w:rsidRPr="006F1380" w:rsidRDefault="001F49FF" w:rsidP="001F49FF">
            <w:pPr>
              <w:pStyle w:val="TableParagraph"/>
              <w:spacing w:before="116"/>
              <w:ind w:left="117"/>
              <w:rPr>
                <w:sz w:val="16"/>
                <w:highlight w:val="lightGray"/>
              </w:rPr>
            </w:pPr>
            <w:r>
              <w:rPr>
                <w:color w:val="000000"/>
                <w:sz w:val="16"/>
                <w:szCs w:val="16"/>
              </w:rPr>
              <w:t>£3,280</w:t>
            </w:r>
          </w:p>
        </w:tc>
        <w:tc>
          <w:tcPr>
            <w:tcW w:w="980" w:type="dxa"/>
            <w:tcBorders>
              <w:top w:val="nil"/>
              <w:left w:val="nil"/>
              <w:bottom w:val="nil"/>
              <w:right w:val="nil"/>
            </w:tcBorders>
          </w:tcPr>
          <w:p w14:paraId="2450CBF3" w14:textId="1C45767B" w:rsidR="001F49FF" w:rsidRPr="006F1380" w:rsidRDefault="001F49FF" w:rsidP="001F49FF">
            <w:pPr>
              <w:pStyle w:val="TableParagraph"/>
              <w:spacing w:before="116"/>
              <w:ind w:left="117"/>
              <w:rPr>
                <w:sz w:val="16"/>
                <w:highlight w:val="lightGray"/>
              </w:rPr>
            </w:pPr>
            <w:r>
              <w:rPr>
                <w:color w:val="000000"/>
                <w:sz w:val="16"/>
                <w:szCs w:val="16"/>
              </w:rPr>
              <w:t>£40,710</w:t>
            </w:r>
          </w:p>
        </w:tc>
        <w:tc>
          <w:tcPr>
            <w:tcW w:w="979" w:type="dxa"/>
            <w:tcBorders>
              <w:top w:val="nil"/>
              <w:left w:val="nil"/>
              <w:bottom w:val="nil"/>
              <w:right w:val="nil"/>
            </w:tcBorders>
          </w:tcPr>
          <w:p w14:paraId="4AACEDD6" w14:textId="2FDF0D59" w:rsidR="001F49FF" w:rsidRPr="006F1380" w:rsidRDefault="001F49FF" w:rsidP="001F49FF">
            <w:pPr>
              <w:pStyle w:val="TableParagraph"/>
              <w:spacing w:before="116"/>
              <w:ind w:left="116"/>
              <w:rPr>
                <w:sz w:val="16"/>
                <w:highlight w:val="lightGray"/>
              </w:rPr>
            </w:pPr>
            <w:r>
              <w:rPr>
                <w:color w:val="000000"/>
                <w:sz w:val="16"/>
                <w:szCs w:val="16"/>
              </w:rPr>
              <w:t>£39,586</w:t>
            </w:r>
          </w:p>
        </w:tc>
        <w:tc>
          <w:tcPr>
            <w:tcW w:w="979" w:type="dxa"/>
            <w:tcBorders>
              <w:top w:val="nil"/>
              <w:left w:val="nil"/>
              <w:bottom w:val="nil"/>
              <w:right w:val="nil"/>
            </w:tcBorders>
          </w:tcPr>
          <w:p w14:paraId="672D0C4C" w14:textId="1B0FDFCF" w:rsidR="001F49FF" w:rsidRPr="006F1380" w:rsidRDefault="001F49FF" w:rsidP="001F49FF">
            <w:pPr>
              <w:pStyle w:val="TableParagraph"/>
              <w:spacing w:before="116"/>
              <w:ind w:left="117"/>
              <w:rPr>
                <w:sz w:val="16"/>
                <w:highlight w:val="lightGray"/>
              </w:rPr>
            </w:pPr>
            <w:r>
              <w:rPr>
                <w:color w:val="000000"/>
                <w:sz w:val="16"/>
                <w:szCs w:val="16"/>
              </w:rPr>
              <w:t>£1,124</w:t>
            </w:r>
          </w:p>
        </w:tc>
      </w:tr>
      <w:tr w:rsidR="001F49FF" w:rsidRPr="006F1380" w14:paraId="020F48B7" w14:textId="77777777" w:rsidTr="001F49FF">
        <w:trPr>
          <w:trHeight w:val="359"/>
        </w:trPr>
        <w:tc>
          <w:tcPr>
            <w:tcW w:w="979" w:type="dxa"/>
            <w:tcBorders>
              <w:top w:val="nil"/>
              <w:left w:val="nil"/>
              <w:bottom w:val="nil"/>
              <w:right w:val="nil"/>
            </w:tcBorders>
          </w:tcPr>
          <w:p w14:paraId="470EC19A" w14:textId="4B09BED2" w:rsidR="001F49FF" w:rsidRDefault="001F49FF" w:rsidP="001F49FF">
            <w:pPr>
              <w:pStyle w:val="TableParagraph"/>
              <w:rPr>
                <w:sz w:val="18"/>
              </w:rPr>
            </w:pPr>
            <w:r>
              <w:rPr>
                <w:color w:val="000000"/>
                <w:sz w:val="16"/>
                <w:szCs w:val="16"/>
              </w:rPr>
              <w:t>65</w:t>
            </w:r>
          </w:p>
        </w:tc>
        <w:tc>
          <w:tcPr>
            <w:tcW w:w="977" w:type="dxa"/>
            <w:tcBorders>
              <w:top w:val="nil"/>
              <w:left w:val="nil"/>
              <w:bottom w:val="nil"/>
              <w:right w:val="nil"/>
            </w:tcBorders>
          </w:tcPr>
          <w:p w14:paraId="1C25FF66" w14:textId="4FEA6816" w:rsidR="001F49FF" w:rsidRPr="006F1380" w:rsidRDefault="001F49FF" w:rsidP="001F49FF">
            <w:pPr>
              <w:pStyle w:val="TableParagraph"/>
              <w:spacing w:before="116"/>
              <w:rPr>
                <w:sz w:val="16"/>
                <w:highlight w:val="lightGray"/>
              </w:rPr>
            </w:pPr>
            <w:r>
              <w:rPr>
                <w:color w:val="000000"/>
                <w:sz w:val="16"/>
                <w:szCs w:val="16"/>
              </w:rPr>
              <w:t>£37,414</w:t>
            </w:r>
          </w:p>
        </w:tc>
        <w:tc>
          <w:tcPr>
            <w:tcW w:w="980" w:type="dxa"/>
            <w:tcBorders>
              <w:top w:val="nil"/>
              <w:left w:val="nil"/>
              <w:bottom w:val="nil"/>
              <w:right w:val="nil"/>
            </w:tcBorders>
          </w:tcPr>
          <w:p w14:paraId="78C3A659" w14:textId="6EA8001C" w:rsidR="001F49FF" w:rsidRPr="006F1380" w:rsidRDefault="001F49FF" w:rsidP="001F49FF">
            <w:pPr>
              <w:pStyle w:val="TableParagraph"/>
              <w:spacing w:before="116"/>
              <w:rPr>
                <w:sz w:val="16"/>
                <w:highlight w:val="lightGray"/>
              </w:rPr>
            </w:pPr>
            <w:r>
              <w:rPr>
                <w:color w:val="000000"/>
                <w:sz w:val="16"/>
                <w:szCs w:val="16"/>
              </w:rPr>
              <w:t>£35,150</w:t>
            </w:r>
          </w:p>
        </w:tc>
        <w:tc>
          <w:tcPr>
            <w:tcW w:w="982" w:type="dxa"/>
            <w:tcBorders>
              <w:top w:val="nil"/>
              <w:left w:val="nil"/>
              <w:bottom w:val="nil"/>
              <w:right w:val="nil"/>
            </w:tcBorders>
          </w:tcPr>
          <w:p w14:paraId="04D18A50" w14:textId="3E19367F" w:rsidR="001F49FF" w:rsidRPr="006F1380" w:rsidRDefault="001F49FF" w:rsidP="001F49FF">
            <w:pPr>
              <w:pStyle w:val="TableParagraph"/>
              <w:spacing w:before="116"/>
              <w:rPr>
                <w:sz w:val="16"/>
                <w:highlight w:val="lightGray"/>
              </w:rPr>
            </w:pPr>
            <w:r>
              <w:rPr>
                <w:color w:val="000000"/>
                <w:sz w:val="16"/>
                <w:szCs w:val="16"/>
              </w:rPr>
              <w:t>£2,264</w:t>
            </w:r>
          </w:p>
        </w:tc>
        <w:tc>
          <w:tcPr>
            <w:tcW w:w="978" w:type="dxa"/>
            <w:tcBorders>
              <w:top w:val="nil"/>
              <w:left w:val="nil"/>
              <w:bottom w:val="nil"/>
              <w:right w:val="nil"/>
            </w:tcBorders>
          </w:tcPr>
          <w:p w14:paraId="75B3DAC7" w14:textId="684C7795" w:rsidR="001F49FF" w:rsidRPr="006F1380" w:rsidRDefault="001F49FF" w:rsidP="001F49FF">
            <w:pPr>
              <w:pStyle w:val="TableParagraph"/>
              <w:spacing w:before="116"/>
              <w:rPr>
                <w:sz w:val="16"/>
                <w:highlight w:val="lightGray"/>
              </w:rPr>
            </w:pPr>
            <w:r>
              <w:rPr>
                <w:color w:val="000000"/>
                <w:sz w:val="16"/>
                <w:szCs w:val="16"/>
              </w:rPr>
              <w:t>£46,562</w:t>
            </w:r>
          </w:p>
        </w:tc>
        <w:tc>
          <w:tcPr>
            <w:tcW w:w="980" w:type="dxa"/>
            <w:tcBorders>
              <w:top w:val="nil"/>
              <w:left w:val="nil"/>
              <w:bottom w:val="nil"/>
              <w:right w:val="nil"/>
            </w:tcBorders>
          </w:tcPr>
          <w:p w14:paraId="0FDCFB95" w14:textId="589479FA" w:rsidR="001F49FF" w:rsidRPr="006F1380" w:rsidRDefault="001F49FF" w:rsidP="001F49FF">
            <w:pPr>
              <w:pStyle w:val="TableParagraph"/>
              <w:spacing w:before="116"/>
              <w:ind w:left="118"/>
              <w:rPr>
                <w:sz w:val="16"/>
                <w:highlight w:val="lightGray"/>
              </w:rPr>
            </w:pPr>
            <w:r>
              <w:rPr>
                <w:color w:val="000000"/>
                <w:sz w:val="16"/>
                <w:szCs w:val="16"/>
              </w:rPr>
              <w:t>£42,097</w:t>
            </w:r>
          </w:p>
        </w:tc>
        <w:tc>
          <w:tcPr>
            <w:tcW w:w="982" w:type="dxa"/>
            <w:tcBorders>
              <w:top w:val="nil"/>
              <w:left w:val="nil"/>
              <w:bottom w:val="nil"/>
              <w:right w:val="nil"/>
            </w:tcBorders>
          </w:tcPr>
          <w:p w14:paraId="2BAC3D33" w14:textId="53184668" w:rsidR="001F49FF" w:rsidRPr="006F1380" w:rsidRDefault="001F49FF" w:rsidP="001F49FF">
            <w:pPr>
              <w:pStyle w:val="TableParagraph"/>
              <w:spacing w:before="116"/>
              <w:ind w:left="117"/>
              <w:rPr>
                <w:sz w:val="16"/>
                <w:highlight w:val="lightGray"/>
              </w:rPr>
            </w:pPr>
            <w:r>
              <w:rPr>
                <w:color w:val="000000"/>
                <w:sz w:val="16"/>
                <w:szCs w:val="16"/>
              </w:rPr>
              <w:t>£4,465</w:t>
            </w:r>
          </w:p>
        </w:tc>
        <w:tc>
          <w:tcPr>
            <w:tcW w:w="980" w:type="dxa"/>
            <w:tcBorders>
              <w:top w:val="nil"/>
              <w:left w:val="nil"/>
              <w:bottom w:val="nil"/>
              <w:right w:val="nil"/>
            </w:tcBorders>
          </w:tcPr>
          <w:p w14:paraId="09B49E9A" w14:textId="6551F4C5" w:rsidR="001F49FF" w:rsidRPr="006F1380" w:rsidRDefault="001F49FF" w:rsidP="001F49FF">
            <w:pPr>
              <w:pStyle w:val="TableParagraph"/>
              <w:spacing w:before="116"/>
              <w:ind w:left="117"/>
              <w:rPr>
                <w:sz w:val="16"/>
                <w:highlight w:val="lightGray"/>
              </w:rPr>
            </w:pPr>
            <w:r>
              <w:rPr>
                <w:color w:val="000000"/>
                <w:sz w:val="16"/>
                <w:szCs w:val="16"/>
              </w:rPr>
              <w:t>£46,562</w:t>
            </w:r>
          </w:p>
        </w:tc>
        <w:tc>
          <w:tcPr>
            <w:tcW w:w="979" w:type="dxa"/>
            <w:tcBorders>
              <w:top w:val="nil"/>
              <w:left w:val="nil"/>
              <w:bottom w:val="nil"/>
              <w:right w:val="nil"/>
            </w:tcBorders>
          </w:tcPr>
          <w:p w14:paraId="713541F3" w14:textId="1428267A" w:rsidR="001F49FF" w:rsidRPr="006F1380" w:rsidRDefault="001F49FF" w:rsidP="001F49FF">
            <w:pPr>
              <w:pStyle w:val="TableParagraph"/>
              <w:spacing w:before="116"/>
              <w:ind w:left="116"/>
              <w:rPr>
                <w:sz w:val="16"/>
                <w:highlight w:val="lightGray"/>
              </w:rPr>
            </w:pPr>
            <w:r>
              <w:rPr>
                <w:color w:val="000000"/>
                <w:sz w:val="16"/>
                <w:szCs w:val="16"/>
              </w:rPr>
              <w:t>£45,023</w:t>
            </w:r>
          </w:p>
        </w:tc>
        <w:tc>
          <w:tcPr>
            <w:tcW w:w="979" w:type="dxa"/>
            <w:tcBorders>
              <w:top w:val="nil"/>
              <w:left w:val="nil"/>
              <w:bottom w:val="nil"/>
              <w:right w:val="nil"/>
            </w:tcBorders>
          </w:tcPr>
          <w:p w14:paraId="232FF679" w14:textId="6358C1ED" w:rsidR="001F49FF" w:rsidRPr="006F1380" w:rsidRDefault="001F49FF" w:rsidP="001F49FF">
            <w:pPr>
              <w:pStyle w:val="TableParagraph"/>
              <w:spacing w:before="116"/>
              <w:ind w:left="117"/>
              <w:rPr>
                <w:sz w:val="16"/>
                <w:highlight w:val="lightGray"/>
              </w:rPr>
            </w:pPr>
            <w:r>
              <w:rPr>
                <w:color w:val="000000"/>
                <w:sz w:val="16"/>
                <w:szCs w:val="16"/>
              </w:rPr>
              <w:t>£1,539</w:t>
            </w:r>
          </w:p>
        </w:tc>
      </w:tr>
    </w:tbl>
    <w:p w14:paraId="533F5D77" w14:textId="77777777" w:rsidR="00AB3475" w:rsidRDefault="00AB3475">
      <w:pPr>
        <w:jc w:val="center"/>
        <w:rPr>
          <w:sz w:val="18"/>
        </w:rPr>
        <w:sectPr w:rsidR="00AB3475" w:rsidSect="00A275CD">
          <w:headerReference w:type="default" r:id="rId13"/>
          <w:footerReference w:type="default" r:id="rId14"/>
          <w:pgSz w:w="11900" w:h="16840"/>
          <w:pgMar w:top="1440" w:right="1080" w:bottom="1440" w:left="1080" w:header="0" w:footer="805" w:gutter="0"/>
          <w:cols w:space="720"/>
        </w:sectPr>
      </w:pPr>
    </w:p>
    <w:p w14:paraId="533F5D78" w14:textId="77777777" w:rsidR="00AB3475" w:rsidRDefault="00AB3475">
      <w:pPr>
        <w:pStyle w:val="BodyText"/>
        <w:spacing w:before="175"/>
      </w:pPr>
    </w:p>
    <w:p w14:paraId="533F5DD0" w14:textId="65D3C987" w:rsidR="00AB3475" w:rsidRDefault="00BA5BA3">
      <w:pPr>
        <w:pStyle w:val="Heading2"/>
      </w:pPr>
      <w:r>
        <w:t>4B.4.</w:t>
      </w:r>
      <w:r>
        <w:rPr>
          <w:spacing w:val="-14"/>
        </w:rPr>
        <w:t xml:space="preserve"> </w:t>
      </w:r>
      <w:r>
        <w:t>Assumptions</w:t>
      </w:r>
      <w:r>
        <w:rPr>
          <w:spacing w:val="-15"/>
        </w:rPr>
        <w:t xml:space="preserve"> </w:t>
      </w:r>
      <w:r>
        <w:t>and</w:t>
      </w:r>
      <w:r>
        <w:rPr>
          <w:spacing w:val="-14"/>
        </w:rPr>
        <w:t xml:space="preserve"> </w:t>
      </w:r>
      <w:r>
        <w:t>Data</w:t>
      </w:r>
      <w:r>
        <w:rPr>
          <w:spacing w:val="-15"/>
        </w:rPr>
        <w:t xml:space="preserve"> </w:t>
      </w:r>
      <w:r>
        <w:t>for</w:t>
      </w:r>
      <w:r>
        <w:rPr>
          <w:spacing w:val="-14"/>
        </w:rPr>
        <w:t xml:space="preserve"> </w:t>
      </w:r>
      <w:r>
        <w:rPr>
          <w:spacing w:val="-2"/>
        </w:rPr>
        <w:t>Illustrations</w:t>
      </w:r>
    </w:p>
    <w:p w14:paraId="533F5DD1" w14:textId="77777777" w:rsidR="00AB3475" w:rsidRDefault="00A853B3" w:rsidP="009B2A0E">
      <w:pPr>
        <w:spacing w:before="241"/>
        <w:ind w:left="199" w:right="526"/>
        <w:jc w:val="both"/>
        <w:rPr>
          <w:sz w:val="20"/>
        </w:rPr>
      </w:pPr>
      <w:r>
        <w:rPr>
          <w:sz w:val="20"/>
        </w:rPr>
        <w:t>All</w:t>
      </w:r>
      <w:r>
        <w:rPr>
          <w:spacing w:val="-8"/>
          <w:sz w:val="20"/>
        </w:rPr>
        <w:t xml:space="preserve"> </w:t>
      </w:r>
      <w:r>
        <w:rPr>
          <w:sz w:val="20"/>
        </w:rPr>
        <w:t>fund</w:t>
      </w:r>
      <w:r>
        <w:rPr>
          <w:spacing w:val="-5"/>
          <w:sz w:val="20"/>
        </w:rPr>
        <w:t xml:space="preserve"> </w:t>
      </w:r>
      <w:r>
        <w:rPr>
          <w:sz w:val="20"/>
        </w:rPr>
        <w:t>values</w:t>
      </w:r>
      <w:r>
        <w:rPr>
          <w:spacing w:val="-6"/>
          <w:sz w:val="20"/>
        </w:rPr>
        <w:t xml:space="preserve"> </w:t>
      </w:r>
      <w:r>
        <w:rPr>
          <w:sz w:val="20"/>
        </w:rPr>
        <w:t>shown</w:t>
      </w:r>
      <w:r>
        <w:rPr>
          <w:spacing w:val="-5"/>
          <w:sz w:val="20"/>
        </w:rPr>
        <w:t xml:space="preserve"> </w:t>
      </w:r>
      <w:r>
        <w:rPr>
          <w:sz w:val="20"/>
        </w:rPr>
        <w:t>are</w:t>
      </w:r>
      <w:r>
        <w:rPr>
          <w:spacing w:val="-6"/>
          <w:sz w:val="20"/>
        </w:rPr>
        <w:t xml:space="preserve"> </w:t>
      </w:r>
      <w:r>
        <w:rPr>
          <w:sz w:val="20"/>
        </w:rPr>
        <w:t>estimates</w:t>
      </w:r>
      <w:r>
        <w:rPr>
          <w:spacing w:val="-6"/>
          <w:sz w:val="20"/>
        </w:rPr>
        <w:t xml:space="preserve"> </w:t>
      </w:r>
      <w:r>
        <w:rPr>
          <w:sz w:val="20"/>
        </w:rPr>
        <w:t>and</w:t>
      </w:r>
      <w:r>
        <w:rPr>
          <w:spacing w:val="-7"/>
          <w:sz w:val="20"/>
        </w:rPr>
        <w:t xml:space="preserve"> </w:t>
      </w:r>
      <w:r>
        <w:rPr>
          <w:sz w:val="20"/>
        </w:rPr>
        <w:t>are</w:t>
      </w:r>
      <w:r>
        <w:rPr>
          <w:spacing w:val="-5"/>
          <w:sz w:val="20"/>
        </w:rPr>
        <w:t xml:space="preserve"> </w:t>
      </w:r>
      <w:r>
        <w:rPr>
          <w:sz w:val="20"/>
        </w:rPr>
        <w:t>not</w:t>
      </w:r>
      <w:r>
        <w:rPr>
          <w:spacing w:val="-5"/>
          <w:sz w:val="20"/>
        </w:rPr>
        <w:t xml:space="preserve"> </w:t>
      </w:r>
      <w:r>
        <w:rPr>
          <w:spacing w:val="-2"/>
          <w:sz w:val="20"/>
        </w:rPr>
        <w:t>guaranteed.</w:t>
      </w:r>
    </w:p>
    <w:p w14:paraId="533F5DD2" w14:textId="77777777" w:rsidR="00AB3475" w:rsidRDefault="00A853B3" w:rsidP="009B2A0E">
      <w:pPr>
        <w:spacing w:before="118"/>
        <w:ind w:left="199" w:right="526"/>
        <w:jc w:val="both"/>
        <w:rPr>
          <w:sz w:val="20"/>
        </w:rPr>
      </w:pPr>
      <w:r>
        <w:rPr>
          <w:sz w:val="20"/>
        </w:rPr>
        <w:t>The projected fund values and the effect of charges on fund values is rounded to the nearest £10, except for smaller fund values where the effect of rounding would be disproportionate.</w:t>
      </w:r>
    </w:p>
    <w:p w14:paraId="533F5DD3" w14:textId="77777777" w:rsidR="00AB3475" w:rsidRDefault="00A853B3" w:rsidP="009B2A0E">
      <w:pPr>
        <w:spacing w:before="121" w:line="364" w:lineRule="auto"/>
        <w:ind w:left="199" w:right="526"/>
        <w:jc w:val="both"/>
        <w:rPr>
          <w:sz w:val="20"/>
        </w:rPr>
      </w:pPr>
      <w:r>
        <w:rPr>
          <w:sz w:val="20"/>
        </w:rPr>
        <w:t>Fund</w:t>
      </w:r>
      <w:r>
        <w:rPr>
          <w:spacing w:val="-1"/>
          <w:sz w:val="20"/>
        </w:rPr>
        <w:t xml:space="preserve"> </w:t>
      </w:r>
      <w:r>
        <w:rPr>
          <w:sz w:val="20"/>
        </w:rPr>
        <w:t>values</w:t>
      </w:r>
      <w:r>
        <w:rPr>
          <w:spacing w:val="-2"/>
          <w:sz w:val="20"/>
        </w:rPr>
        <w:t xml:space="preserve"> </w:t>
      </w:r>
      <w:r>
        <w:rPr>
          <w:sz w:val="20"/>
        </w:rPr>
        <w:t>shown</w:t>
      </w:r>
      <w:r>
        <w:rPr>
          <w:spacing w:val="-1"/>
          <w:sz w:val="20"/>
        </w:rPr>
        <w:t xml:space="preserve"> </w:t>
      </w:r>
      <w:r>
        <w:rPr>
          <w:sz w:val="20"/>
        </w:rPr>
        <w:t>are</w:t>
      </w:r>
      <w:r>
        <w:rPr>
          <w:spacing w:val="-3"/>
          <w:sz w:val="20"/>
        </w:rPr>
        <w:t xml:space="preserve"> </w:t>
      </w:r>
      <w:r>
        <w:rPr>
          <w:sz w:val="20"/>
        </w:rPr>
        <w:t>in</w:t>
      </w:r>
      <w:r>
        <w:rPr>
          <w:spacing w:val="-3"/>
          <w:sz w:val="20"/>
        </w:rPr>
        <w:t xml:space="preserve"> </w:t>
      </w:r>
      <w:r>
        <w:rPr>
          <w:sz w:val="20"/>
        </w:rPr>
        <w:t>real</w:t>
      </w:r>
      <w:r>
        <w:rPr>
          <w:spacing w:val="-2"/>
          <w:sz w:val="20"/>
        </w:rPr>
        <w:t xml:space="preserve"> </w:t>
      </w:r>
      <w:r>
        <w:rPr>
          <w:sz w:val="20"/>
        </w:rPr>
        <w:t>terms</w:t>
      </w:r>
      <w:r>
        <w:rPr>
          <w:spacing w:val="-2"/>
          <w:sz w:val="20"/>
        </w:rPr>
        <w:t xml:space="preserve"> </w:t>
      </w:r>
      <w:r>
        <w:rPr>
          <w:sz w:val="20"/>
        </w:rPr>
        <w:t>and</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need</w:t>
      </w:r>
      <w:r>
        <w:rPr>
          <w:spacing w:val="-1"/>
          <w:sz w:val="20"/>
        </w:rPr>
        <w:t xml:space="preserve"> </w:t>
      </w:r>
      <w:r>
        <w:rPr>
          <w:sz w:val="20"/>
        </w:rPr>
        <w:t>to</w:t>
      </w:r>
      <w:r>
        <w:rPr>
          <w:spacing w:val="-3"/>
          <w:sz w:val="20"/>
        </w:rPr>
        <w:t xml:space="preserve"> </w:t>
      </w:r>
      <w:r>
        <w:rPr>
          <w:sz w:val="20"/>
        </w:rPr>
        <w:t>be</w:t>
      </w:r>
      <w:r>
        <w:rPr>
          <w:spacing w:val="-3"/>
          <w:sz w:val="20"/>
        </w:rPr>
        <w:t xml:space="preserve"> </w:t>
      </w:r>
      <w:r>
        <w:rPr>
          <w:sz w:val="20"/>
        </w:rPr>
        <w:t>reduced</w:t>
      </w:r>
      <w:r>
        <w:rPr>
          <w:spacing w:val="-3"/>
          <w:sz w:val="20"/>
        </w:rPr>
        <w:t xml:space="preserve"> </w:t>
      </w:r>
      <w:r>
        <w:rPr>
          <w:sz w:val="20"/>
        </w:rPr>
        <w:t>to</w:t>
      </w:r>
      <w:r>
        <w:rPr>
          <w:spacing w:val="-1"/>
          <w:sz w:val="20"/>
        </w:rPr>
        <w:t xml:space="preserve"> </w:t>
      </w:r>
      <w:r>
        <w:rPr>
          <w:sz w:val="20"/>
        </w:rPr>
        <w:t>allow</w:t>
      </w:r>
      <w:r>
        <w:rPr>
          <w:spacing w:val="-5"/>
          <w:sz w:val="20"/>
        </w:rPr>
        <w:t xml:space="preserve"> </w:t>
      </w:r>
      <w:r>
        <w:rPr>
          <w:sz w:val="20"/>
        </w:rPr>
        <w:t>for</w:t>
      </w:r>
      <w:r>
        <w:rPr>
          <w:spacing w:val="-3"/>
          <w:sz w:val="20"/>
        </w:rPr>
        <w:t xml:space="preserve"> </w:t>
      </w:r>
      <w:r>
        <w:rPr>
          <w:sz w:val="20"/>
        </w:rPr>
        <w:t>the</w:t>
      </w:r>
      <w:r>
        <w:rPr>
          <w:spacing w:val="-3"/>
          <w:sz w:val="20"/>
        </w:rPr>
        <w:t xml:space="preserve"> </w:t>
      </w:r>
      <w:r>
        <w:rPr>
          <w:sz w:val="20"/>
        </w:rPr>
        <w:t>effect</w:t>
      </w:r>
      <w:r>
        <w:rPr>
          <w:spacing w:val="-3"/>
          <w:sz w:val="20"/>
        </w:rPr>
        <w:t xml:space="preserve"> </w:t>
      </w:r>
      <w:r>
        <w:rPr>
          <w:sz w:val="20"/>
        </w:rPr>
        <w:t>of</w:t>
      </w:r>
      <w:r>
        <w:rPr>
          <w:spacing w:val="-1"/>
          <w:sz w:val="20"/>
        </w:rPr>
        <w:t xml:space="preserve"> </w:t>
      </w:r>
      <w:r>
        <w:rPr>
          <w:sz w:val="20"/>
        </w:rPr>
        <w:t>inflation. Inflation is assumed to be 2.5% p.a. consistent with the guidance.</w:t>
      </w:r>
    </w:p>
    <w:p w14:paraId="533F5DD5" w14:textId="07259FE6" w:rsidR="00AB3475" w:rsidRDefault="00A853B3" w:rsidP="009B2A0E">
      <w:pPr>
        <w:spacing w:before="119"/>
        <w:ind w:left="199" w:right="526"/>
        <w:jc w:val="both"/>
        <w:rPr>
          <w:sz w:val="20"/>
        </w:rPr>
      </w:pPr>
      <w:r>
        <w:rPr>
          <w:sz w:val="20"/>
        </w:rPr>
        <w:t>For</w:t>
      </w:r>
      <w:r>
        <w:rPr>
          <w:spacing w:val="-5"/>
          <w:sz w:val="20"/>
        </w:rPr>
        <w:t xml:space="preserve"> </w:t>
      </w:r>
      <w:r>
        <w:rPr>
          <w:sz w:val="20"/>
        </w:rPr>
        <w:t>the</w:t>
      </w:r>
      <w:r>
        <w:rPr>
          <w:spacing w:val="-4"/>
          <w:sz w:val="20"/>
        </w:rPr>
        <w:t xml:space="preserve"> </w:t>
      </w:r>
      <w:r>
        <w:rPr>
          <w:sz w:val="20"/>
        </w:rPr>
        <w:t>example</w:t>
      </w:r>
      <w:r>
        <w:rPr>
          <w:spacing w:val="-4"/>
          <w:sz w:val="20"/>
        </w:rPr>
        <w:t xml:space="preserve"> </w:t>
      </w:r>
      <w:r>
        <w:rPr>
          <w:sz w:val="20"/>
        </w:rPr>
        <w:t>active</w:t>
      </w:r>
      <w:r>
        <w:rPr>
          <w:spacing w:val="-4"/>
          <w:sz w:val="20"/>
        </w:rPr>
        <w:t xml:space="preserve"> </w:t>
      </w:r>
      <w:r>
        <w:rPr>
          <w:sz w:val="20"/>
        </w:rPr>
        <w:t>members</w:t>
      </w:r>
      <w:r>
        <w:rPr>
          <w:spacing w:val="-4"/>
          <w:sz w:val="20"/>
        </w:rPr>
        <w:t xml:space="preserve"> </w:t>
      </w:r>
      <w:r>
        <w:rPr>
          <w:sz w:val="20"/>
        </w:rPr>
        <w:t>of</w:t>
      </w:r>
      <w:r>
        <w:rPr>
          <w:spacing w:val="-4"/>
          <w:sz w:val="20"/>
        </w:rPr>
        <w:t xml:space="preserve"> </w:t>
      </w:r>
      <w:r>
        <w:rPr>
          <w:sz w:val="20"/>
        </w:rPr>
        <w:t>the</w:t>
      </w:r>
      <w:r>
        <w:rPr>
          <w:spacing w:val="-3"/>
          <w:sz w:val="20"/>
        </w:rPr>
        <w:t xml:space="preserve"> </w:t>
      </w:r>
      <w:r w:rsidR="00E27B3F">
        <w:rPr>
          <w:sz w:val="20"/>
        </w:rPr>
        <w:t>Defined Contribution</w:t>
      </w:r>
      <w:r>
        <w:rPr>
          <w:spacing w:val="-3"/>
          <w:sz w:val="20"/>
        </w:rPr>
        <w:t xml:space="preserve"> </w:t>
      </w:r>
      <w:r>
        <w:rPr>
          <w:sz w:val="20"/>
        </w:rPr>
        <w:t>section,</w:t>
      </w:r>
      <w:r>
        <w:rPr>
          <w:spacing w:val="-3"/>
          <w:sz w:val="20"/>
        </w:rPr>
        <w:t xml:space="preserve"> </w:t>
      </w:r>
      <w:r>
        <w:rPr>
          <w:sz w:val="20"/>
        </w:rPr>
        <w:t>contributions</w:t>
      </w:r>
      <w:r>
        <w:rPr>
          <w:spacing w:val="-2"/>
          <w:sz w:val="20"/>
        </w:rPr>
        <w:t xml:space="preserve"> </w:t>
      </w:r>
      <w:r>
        <w:rPr>
          <w:sz w:val="20"/>
        </w:rPr>
        <w:t>are</w:t>
      </w:r>
      <w:r>
        <w:rPr>
          <w:spacing w:val="-5"/>
          <w:sz w:val="20"/>
        </w:rPr>
        <w:t xml:space="preserve"> </w:t>
      </w:r>
      <w:r>
        <w:rPr>
          <w:sz w:val="20"/>
        </w:rPr>
        <w:t>assumed</w:t>
      </w:r>
      <w:r>
        <w:rPr>
          <w:spacing w:val="-6"/>
          <w:sz w:val="20"/>
        </w:rPr>
        <w:t xml:space="preserve"> </w:t>
      </w:r>
      <w:r>
        <w:rPr>
          <w:sz w:val="20"/>
        </w:rPr>
        <w:t>to</w:t>
      </w:r>
      <w:r>
        <w:rPr>
          <w:spacing w:val="-4"/>
          <w:sz w:val="20"/>
        </w:rPr>
        <w:t xml:space="preserve"> </w:t>
      </w:r>
      <w:r>
        <w:rPr>
          <w:sz w:val="20"/>
        </w:rPr>
        <w:t>continue until retirement and to increase by assumed earnings inflation of 2.5% p.a.</w:t>
      </w:r>
    </w:p>
    <w:p w14:paraId="533F5DD6" w14:textId="77777777" w:rsidR="00AB3475" w:rsidRDefault="00A853B3" w:rsidP="009B2A0E">
      <w:pPr>
        <w:spacing w:before="121"/>
        <w:ind w:left="199" w:right="526"/>
        <w:jc w:val="both"/>
        <w:rPr>
          <w:sz w:val="20"/>
        </w:rPr>
      </w:pPr>
      <w:r>
        <w:rPr>
          <w:sz w:val="20"/>
        </w:rPr>
        <w:t>The transaction costs have been averaged over five years in line with statutory guidance to reduce the level of volatility.</w:t>
      </w:r>
      <w:r>
        <w:rPr>
          <w:spacing w:val="40"/>
          <w:sz w:val="20"/>
        </w:rPr>
        <w:t xml:space="preserve"> </w:t>
      </w:r>
      <w:r>
        <w:rPr>
          <w:sz w:val="20"/>
        </w:rPr>
        <w:t>A floor of 0% p.a. has been used for the transaction costs if these were negative in any year so as not to potentially understate the effect of charges on fund values over time.</w:t>
      </w:r>
    </w:p>
    <w:p w14:paraId="533F5DD7" w14:textId="77777777" w:rsidR="00AB3475" w:rsidRDefault="00A853B3" w:rsidP="009B2A0E">
      <w:pPr>
        <w:spacing w:before="119"/>
        <w:ind w:left="199" w:right="526"/>
        <w:jc w:val="both"/>
        <w:rPr>
          <w:sz w:val="20"/>
        </w:rPr>
      </w:pPr>
      <w:r>
        <w:rPr>
          <w:sz w:val="20"/>
        </w:rPr>
        <w:t>The projected growth rates and costs and charges used for the illustrations are shown in the table below. These are the same as the growth rates used by the providers for annual benefit statements.</w:t>
      </w:r>
      <w:r>
        <w:rPr>
          <w:spacing w:val="40"/>
          <w:sz w:val="20"/>
        </w:rPr>
        <w:t xml:space="preserve"> </w:t>
      </w:r>
      <w:r>
        <w:rPr>
          <w:sz w:val="20"/>
        </w:rPr>
        <w:t>We have used a single growth rate for the Target Date Funds, irrespective of the length of time members have to retirement, consistent with L&amp;G’s practice for annual benefit statements.</w:t>
      </w:r>
    </w:p>
    <w:p w14:paraId="533F5DD8" w14:textId="77777777" w:rsidR="00AB3475" w:rsidRDefault="00AB3475">
      <w:pPr>
        <w:pStyle w:val="BodyText"/>
        <w:spacing w:before="24"/>
        <w:rPr>
          <w:sz w:val="20"/>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1714"/>
        <w:gridCol w:w="2720"/>
      </w:tblGrid>
      <w:tr w:rsidR="00AB3475" w14:paraId="533F5DDE" w14:textId="77777777" w:rsidTr="009B2A0E">
        <w:trPr>
          <w:trHeight w:val="602"/>
        </w:trPr>
        <w:tc>
          <w:tcPr>
            <w:tcW w:w="4674" w:type="dxa"/>
            <w:shd w:val="clear" w:color="auto" w:fill="CE8D95"/>
          </w:tcPr>
          <w:p w14:paraId="533F5DD9" w14:textId="77777777" w:rsidR="00AB3475" w:rsidRDefault="00AB3475">
            <w:pPr>
              <w:pStyle w:val="TableParagraph"/>
              <w:spacing w:before="7"/>
              <w:ind w:left="0"/>
              <w:rPr>
                <w:sz w:val="18"/>
              </w:rPr>
            </w:pPr>
          </w:p>
          <w:p w14:paraId="4C562E8C" w14:textId="77777777" w:rsidR="00BB3DF5" w:rsidRDefault="00BB3DF5">
            <w:pPr>
              <w:pStyle w:val="TableParagraph"/>
              <w:spacing w:before="1"/>
              <w:rPr>
                <w:b/>
                <w:spacing w:val="-4"/>
                <w:sz w:val="18"/>
              </w:rPr>
            </w:pPr>
            <w:r>
              <w:rPr>
                <w:b/>
                <w:spacing w:val="-4"/>
                <w:sz w:val="18"/>
              </w:rPr>
              <w:t>Table 9</w:t>
            </w:r>
          </w:p>
          <w:p w14:paraId="533F5DDA" w14:textId="73CAF642" w:rsidR="00AB3475" w:rsidRDefault="00A853B3">
            <w:pPr>
              <w:pStyle w:val="TableParagraph"/>
              <w:spacing w:before="1"/>
              <w:rPr>
                <w:b/>
                <w:sz w:val="18"/>
              </w:rPr>
            </w:pPr>
            <w:r>
              <w:rPr>
                <w:b/>
                <w:spacing w:val="-4"/>
                <w:sz w:val="18"/>
              </w:rPr>
              <w:t>Fund</w:t>
            </w:r>
          </w:p>
        </w:tc>
        <w:tc>
          <w:tcPr>
            <w:tcW w:w="1714" w:type="dxa"/>
            <w:shd w:val="clear" w:color="auto" w:fill="CE8D95"/>
          </w:tcPr>
          <w:p w14:paraId="533F5DDB" w14:textId="503FCB0A" w:rsidR="00AB3475" w:rsidRDefault="00A853B3">
            <w:pPr>
              <w:pStyle w:val="TableParagraph"/>
              <w:spacing w:before="95" w:line="273" w:lineRule="auto"/>
              <w:ind w:left="484" w:hanging="276"/>
              <w:rPr>
                <w:b/>
                <w:sz w:val="12"/>
              </w:rPr>
            </w:pPr>
            <w:r>
              <w:rPr>
                <w:b/>
                <w:spacing w:val="-2"/>
                <w:sz w:val="18"/>
              </w:rPr>
              <w:t>Total</w:t>
            </w:r>
            <w:r>
              <w:rPr>
                <w:b/>
                <w:spacing w:val="-13"/>
                <w:sz w:val="18"/>
              </w:rPr>
              <w:t xml:space="preserve"> </w:t>
            </w:r>
            <w:r>
              <w:rPr>
                <w:b/>
                <w:spacing w:val="-2"/>
                <w:sz w:val="18"/>
              </w:rPr>
              <w:t>costs</w:t>
            </w:r>
            <w:r>
              <w:rPr>
                <w:b/>
                <w:spacing w:val="-10"/>
                <w:sz w:val="18"/>
              </w:rPr>
              <w:t xml:space="preserve"> </w:t>
            </w:r>
            <w:r>
              <w:rPr>
                <w:b/>
                <w:spacing w:val="-2"/>
                <w:sz w:val="18"/>
              </w:rPr>
              <w:t>and charges</w:t>
            </w:r>
            <w:r w:rsidR="008D6F52">
              <w:rPr>
                <w:b/>
                <w:spacing w:val="-2"/>
                <w:position w:val="6"/>
                <w:sz w:val="12"/>
              </w:rPr>
              <w:t>1</w:t>
            </w:r>
          </w:p>
        </w:tc>
        <w:tc>
          <w:tcPr>
            <w:tcW w:w="2720" w:type="dxa"/>
            <w:shd w:val="clear" w:color="auto" w:fill="CE8D95"/>
          </w:tcPr>
          <w:p w14:paraId="533F5DDC" w14:textId="77777777" w:rsidR="00AB3475" w:rsidRDefault="00AB3475">
            <w:pPr>
              <w:pStyle w:val="TableParagraph"/>
              <w:spacing w:before="7"/>
              <w:ind w:left="0"/>
              <w:rPr>
                <w:sz w:val="18"/>
              </w:rPr>
            </w:pPr>
          </w:p>
          <w:p w14:paraId="533F5DDD" w14:textId="77777777" w:rsidR="00AB3475" w:rsidRDefault="00A853B3">
            <w:pPr>
              <w:pStyle w:val="TableParagraph"/>
              <w:spacing w:before="1"/>
              <w:ind w:left="2"/>
              <w:jc w:val="center"/>
              <w:rPr>
                <w:b/>
                <w:sz w:val="18"/>
              </w:rPr>
            </w:pPr>
            <w:r>
              <w:rPr>
                <w:b/>
                <w:sz w:val="18"/>
              </w:rPr>
              <w:t>Growth</w:t>
            </w:r>
            <w:r>
              <w:rPr>
                <w:b/>
                <w:spacing w:val="-13"/>
                <w:sz w:val="18"/>
              </w:rPr>
              <w:t xml:space="preserve"> </w:t>
            </w:r>
            <w:r>
              <w:rPr>
                <w:b/>
                <w:sz w:val="18"/>
              </w:rPr>
              <w:t>rate</w:t>
            </w:r>
            <w:r>
              <w:rPr>
                <w:b/>
                <w:spacing w:val="-12"/>
                <w:sz w:val="18"/>
              </w:rPr>
              <w:t xml:space="preserve"> </w:t>
            </w:r>
            <w:r>
              <w:rPr>
                <w:b/>
                <w:sz w:val="18"/>
              </w:rPr>
              <w:t>(gross</w:t>
            </w:r>
            <w:r>
              <w:rPr>
                <w:b/>
                <w:spacing w:val="-13"/>
                <w:sz w:val="18"/>
              </w:rPr>
              <w:t xml:space="preserve"> </w:t>
            </w:r>
            <w:r>
              <w:rPr>
                <w:b/>
                <w:sz w:val="18"/>
              </w:rPr>
              <w:t>of</w:t>
            </w:r>
            <w:r>
              <w:rPr>
                <w:b/>
                <w:spacing w:val="-12"/>
                <w:sz w:val="18"/>
              </w:rPr>
              <w:t xml:space="preserve"> </w:t>
            </w:r>
            <w:r>
              <w:rPr>
                <w:b/>
                <w:spacing w:val="-2"/>
                <w:sz w:val="18"/>
              </w:rPr>
              <w:t>charges)</w:t>
            </w:r>
          </w:p>
        </w:tc>
      </w:tr>
      <w:tr w:rsidR="00AB3475" w14:paraId="533F5DE2" w14:textId="77777777" w:rsidTr="009B2A0E">
        <w:trPr>
          <w:trHeight w:val="359"/>
        </w:trPr>
        <w:tc>
          <w:tcPr>
            <w:tcW w:w="4674" w:type="dxa"/>
          </w:tcPr>
          <w:p w14:paraId="533F5DDF" w14:textId="3FC66779" w:rsidR="00AB3475" w:rsidRDefault="00A853B3">
            <w:pPr>
              <w:pStyle w:val="TableParagraph"/>
              <w:spacing w:before="69"/>
              <w:rPr>
                <w:sz w:val="20"/>
              </w:rPr>
            </w:pPr>
            <w:r>
              <w:rPr>
                <w:sz w:val="20"/>
              </w:rPr>
              <w:t>L&amp;G</w:t>
            </w:r>
            <w:r>
              <w:rPr>
                <w:spacing w:val="-3"/>
                <w:sz w:val="20"/>
              </w:rPr>
              <w:t xml:space="preserve"> </w:t>
            </w:r>
            <w:r>
              <w:rPr>
                <w:sz w:val="20"/>
              </w:rPr>
              <w:t>PMC</w:t>
            </w:r>
            <w:r>
              <w:rPr>
                <w:spacing w:val="-3"/>
                <w:sz w:val="20"/>
              </w:rPr>
              <w:t xml:space="preserve"> </w:t>
            </w:r>
            <w:r w:rsidR="00AA1C41">
              <w:rPr>
                <w:sz w:val="20"/>
              </w:rPr>
              <w:t>2065 - 2070</w:t>
            </w:r>
            <w:r>
              <w:rPr>
                <w:spacing w:val="-6"/>
                <w:sz w:val="20"/>
              </w:rPr>
              <w:t xml:space="preserve"> </w:t>
            </w:r>
            <w:r>
              <w:rPr>
                <w:sz w:val="20"/>
              </w:rPr>
              <w:t>Target</w:t>
            </w:r>
            <w:r>
              <w:rPr>
                <w:spacing w:val="-5"/>
                <w:sz w:val="20"/>
              </w:rPr>
              <w:t xml:space="preserve"> </w:t>
            </w:r>
            <w:r>
              <w:rPr>
                <w:sz w:val="20"/>
              </w:rPr>
              <w:t>Date</w:t>
            </w:r>
            <w:r>
              <w:rPr>
                <w:spacing w:val="-6"/>
                <w:sz w:val="20"/>
              </w:rPr>
              <w:t xml:space="preserve"> </w:t>
            </w:r>
            <w:r>
              <w:rPr>
                <w:sz w:val="20"/>
              </w:rPr>
              <w:t>Fund</w:t>
            </w:r>
            <w:r>
              <w:rPr>
                <w:spacing w:val="-5"/>
                <w:sz w:val="20"/>
              </w:rPr>
              <w:t xml:space="preserve"> </w:t>
            </w:r>
            <w:r>
              <w:rPr>
                <w:spacing w:val="-10"/>
                <w:sz w:val="20"/>
              </w:rPr>
              <w:t>3</w:t>
            </w:r>
          </w:p>
        </w:tc>
        <w:tc>
          <w:tcPr>
            <w:tcW w:w="1714" w:type="dxa"/>
            <w:shd w:val="clear" w:color="auto" w:fill="FFFFFF" w:themeFill="background1"/>
          </w:tcPr>
          <w:p w14:paraId="533F5DE0" w14:textId="6F804407" w:rsidR="00AB3475" w:rsidRPr="00D6272B" w:rsidRDefault="007B543C">
            <w:pPr>
              <w:pStyle w:val="TableParagraph"/>
              <w:spacing w:before="69"/>
              <w:ind w:left="1"/>
              <w:jc w:val="center"/>
              <w:rPr>
                <w:sz w:val="20"/>
              </w:rPr>
            </w:pPr>
            <w:r w:rsidRPr="00D6272B">
              <w:rPr>
                <w:sz w:val="20"/>
              </w:rPr>
              <w:t>0.25</w:t>
            </w:r>
            <w:r w:rsidR="00A853B3" w:rsidRPr="00D6272B">
              <w:rPr>
                <w:sz w:val="20"/>
              </w:rPr>
              <w:t>%</w:t>
            </w:r>
            <w:r w:rsidR="00A853B3" w:rsidRPr="00D6272B">
              <w:rPr>
                <w:spacing w:val="-8"/>
                <w:sz w:val="20"/>
              </w:rPr>
              <w:t xml:space="preserve"> </w:t>
            </w:r>
            <w:r w:rsidR="00A853B3" w:rsidRPr="00D6272B">
              <w:rPr>
                <w:spacing w:val="-4"/>
                <w:sz w:val="20"/>
              </w:rPr>
              <w:t>p.a.</w:t>
            </w:r>
          </w:p>
        </w:tc>
        <w:tc>
          <w:tcPr>
            <w:tcW w:w="2720" w:type="dxa"/>
            <w:shd w:val="clear" w:color="auto" w:fill="FFFFFF" w:themeFill="background1"/>
          </w:tcPr>
          <w:p w14:paraId="533F5DE1" w14:textId="26BEC398" w:rsidR="00AB3475" w:rsidRPr="00D6272B" w:rsidRDefault="00D6272B">
            <w:pPr>
              <w:pStyle w:val="TableParagraph"/>
              <w:spacing w:before="69"/>
              <w:ind w:left="2" w:right="1"/>
              <w:jc w:val="center"/>
              <w:rPr>
                <w:sz w:val="20"/>
              </w:rPr>
            </w:pPr>
            <w:r w:rsidRPr="00D6272B">
              <w:rPr>
                <w:sz w:val="20"/>
              </w:rPr>
              <w:t>2.7</w:t>
            </w:r>
            <w:r w:rsidR="00A853B3" w:rsidRPr="00D6272B">
              <w:rPr>
                <w:sz w:val="20"/>
              </w:rPr>
              <w:t>%</w:t>
            </w:r>
            <w:r w:rsidR="00A853B3" w:rsidRPr="00D6272B">
              <w:rPr>
                <w:spacing w:val="-9"/>
                <w:sz w:val="20"/>
              </w:rPr>
              <w:t xml:space="preserve"> </w:t>
            </w:r>
            <w:r w:rsidR="00A853B3" w:rsidRPr="00D6272B">
              <w:rPr>
                <w:spacing w:val="-4"/>
                <w:sz w:val="20"/>
              </w:rPr>
              <w:t>p.a.</w:t>
            </w:r>
          </w:p>
        </w:tc>
      </w:tr>
      <w:tr w:rsidR="00AB3475" w14:paraId="533F5DEE" w14:textId="77777777" w:rsidTr="009B2A0E">
        <w:trPr>
          <w:trHeight w:val="359"/>
        </w:trPr>
        <w:tc>
          <w:tcPr>
            <w:tcW w:w="4674" w:type="dxa"/>
          </w:tcPr>
          <w:p w14:paraId="533F5DEB" w14:textId="7DCE0567" w:rsidR="00AB3475" w:rsidRDefault="000C5CC7">
            <w:pPr>
              <w:pStyle w:val="TableParagraph"/>
              <w:spacing w:before="69"/>
              <w:rPr>
                <w:sz w:val="20"/>
              </w:rPr>
            </w:pPr>
            <w:r w:rsidRPr="000C5CC7">
              <w:rPr>
                <w:sz w:val="20"/>
              </w:rPr>
              <w:t>L&amp;G MT Positive Change Fund</w:t>
            </w:r>
          </w:p>
        </w:tc>
        <w:tc>
          <w:tcPr>
            <w:tcW w:w="1714" w:type="dxa"/>
            <w:shd w:val="clear" w:color="auto" w:fill="FFFFFF" w:themeFill="background1"/>
          </w:tcPr>
          <w:p w14:paraId="533F5DEC" w14:textId="7F626C37" w:rsidR="00AB3475" w:rsidRPr="00D6272B" w:rsidRDefault="00D6272B">
            <w:pPr>
              <w:pStyle w:val="TableParagraph"/>
              <w:spacing w:before="69"/>
              <w:ind w:left="1"/>
              <w:jc w:val="center"/>
              <w:rPr>
                <w:sz w:val="20"/>
              </w:rPr>
            </w:pPr>
            <w:r w:rsidRPr="00D6272B">
              <w:rPr>
                <w:sz w:val="20"/>
              </w:rPr>
              <w:t>0.59</w:t>
            </w:r>
            <w:r w:rsidR="00A853B3" w:rsidRPr="00D6272B">
              <w:rPr>
                <w:sz w:val="20"/>
              </w:rPr>
              <w:t>%</w:t>
            </w:r>
            <w:r w:rsidR="00A853B3" w:rsidRPr="00D6272B">
              <w:rPr>
                <w:spacing w:val="-5"/>
                <w:sz w:val="20"/>
              </w:rPr>
              <w:t xml:space="preserve"> </w:t>
            </w:r>
            <w:r w:rsidR="00A853B3" w:rsidRPr="00D6272B">
              <w:rPr>
                <w:spacing w:val="-4"/>
                <w:sz w:val="20"/>
              </w:rPr>
              <w:t>p.a.</w:t>
            </w:r>
          </w:p>
        </w:tc>
        <w:tc>
          <w:tcPr>
            <w:tcW w:w="2720" w:type="dxa"/>
            <w:shd w:val="clear" w:color="auto" w:fill="FFFFFF" w:themeFill="background1"/>
          </w:tcPr>
          <w:p w14:paraId="533F5DED" w14:textId="7DDE7D8D" w:rsidR="00AB3475" w:rsidRPr="00D6272B" w:rsidRDefault="00D6272B">
            <w:pPr>
              <w:pStyle w:val="TableParagraph"/>
              <w:spacing w:before="69"/>
              <w:ind w:left="2" w:right="1"/>
              <w:jc w:val="center"/>
              <w:rPr>
                <w:sz w:val="20"/>
              </w:rPr>
            </w:pPr>
            <w:r w:rsidRPr="00D6272B">
              <w:rPr>
                <w:sz w:val="20"/>
              </w:rPr>
              <w:t>4.4</w:t>
            </w:r>
            <w:r w:rsidR="00A853B3" w:rsidRPr="00D6272B">
              <w:rPr>
                <w:sz w:val="20"/>
              </w:rPr>
              <w:t>%</w:t>
            </w:r>
            <w:r w:rsidR="00A853B3" w:rsidRPr="00D6272B">
              <w:rPr>
                <w:spacing w:val="-7"/>
                <w:sz w:val="20"/>
              </w:rPr>
              <w:t xml:space="preserve"> </w:t>
            </w:r>
            <w:r w:rsidR="00A853B3" w:rsidRPr="00D6272B">
              <w:rPr>
                <w:spacing w:val="-4"/>
                <w:sz w:val="20"/>
              </w:rPr>
              <w:t>p.a.</w:t>
            </w:r>
          </w:p>
        </w:tc>
      </w:tr>
      <w:tr w:rsidR="00AB3475" w14:paraId="533F5DF2" w14:textId="77777777" w:rsidTr="009B2A0E">
        <w:trPr>
          <w:trHeight w:val="359"/>
        </w:trPr>
        <w:tc>
          <w:tcPr>
            <w:tcW w:w="4674" w:type="dxa"/>
          </w:tcPr>
          <w:p w14:paraId="533F5DEF" w14:textId="5585404D" w:rsidR="00AB3475" w:rsidRDefault="000C5CC7">
            <w:pPr>
              <w:pStyle w:val="TableParagraph"/>
              <w:spacing w:before="69"/>
              <w:rPr>
                <w:sz w:val="20"/>
              </w:rPr>
            </w:pPr>
            <w:r w:rsidRPr="000C5CC7">
              <w:rPr>
                <w:sz w:val="20"/>
              </w:rPr>
              <w:t>L&amp;G PMC Over 15 Year Index Linked Gilts Index 3</w:t>
            </w:r>
          </w:p>
        </w:tc>
        <w:tc>
          <w:tcPr>
            <w:tcW w:w="1714" w:type="dxa"/>
            <w:shd w:val="clear" w:color="auto" w:fill="FFFFFF" w:themeFill="background1"/>
          </w:tcPr>
          <w:p w14:paraId="533F5DF0" w14:textId="5B8388ED" w:rsidR="00AB3475" w:rsidRPr="00D6272B" w:rsidRDefault="00D6272B">
            <w:pPr>
              <w:pStyle w:val="TableParagraph"/>
              <w:spacing w:before="69"/>
              <w:ind w:left="1"/>
              <w:jc w:val="center"/>
              <w:rPr>
                <w:sz w:val="20"/>
              </w:rPr>
            </w:pPr>
            <w:r w:rsidRPr="00D6272B">
              <w:rPr>
                <w:sz w:val="20"/>
              </w:rPr>
              <w:t>0.17</w:t>
            </w:r>
            <w:r w:rsidR="00A853B3" w:rsidRPr="00D6272B">
              <w:rPr>
                <w:sz w:val="20"/>
              </w:rPr>
              <w:t>%</w:t>
            </w:r>
            <w:r w:rsidR="00A853B3" w:rsidRPr="00D6272B">
              <w:rPr>
                <w:spacing w:val="-8"/>
                <w:sz w:val="20"/>
              </w:rPr>
              <w:t xml:space="preserve"> </w:t>
            </w:r>
            <w:r w:rsidR="00A853B3" w:rsidRPr="00D6272B">
              <w:rPr>
                <w:spacing w:val="-4"/>
                <w:sz w:val="20"/>
              </w:rPr>
              <w:t>p.a.</w:t>
            </w:r>
          </w:p>
        </w:tc>
        <w:tc>
          <w:tcPr>
            <w:tcW w:w="2720" w:type="dxa"/>
            <w:shd w:val="clear" w:color="auto" w:fill="FFFFFF" w:themeFill="background1"/>
          </w:tcPr>
          <w:p w14:paraId="533F5DF1" w14:textId="6028CBEE" w:rsidR="00AB3475" w:rsidRPr="00D6272B" w:rsidRDefault="00D6272B">
            <w:pPr>
              <w:pStyle w:val="TableParagraph"/>
              <w:spacing w:before="69"/>
              <w:ind w:left="2" w:right="1"/>
              <w:jc w:val="center"/>
              <w:rPr>
                <w:sz w:val="20"/>
              </w:rPr>
            </w:pPr>
            <w:r w:rsidRPr="00D6272B">
              <w:rPr>
                <w:sz w:val="20"/>
              </w:rPr>
              <w:t>4.4</w:t>
            </w:r>
            <w:r w:rsidR="00A853B3" w:rsidRPr="00D6272B">
              <w:rPr>
                <w:sz w:val="20"/>
              </w:rPr>
              <w:t>%</w:t>
            </w:r>
            <w:r w:rsidR="00A853B3" w:rsidRPr="00D6272B">
              <w:rPr>
                <w:spacing w:val="-7"/>
                <w:sz w:val="20"/>
              </w:rPr>
              <w:t xml:space="preserve"> </w:t>
            </w:r>
            <w:r w:rsidR="00A853B3" w:rsidRPr="00D6272B">
              <w:rPr>
                <w:spacing w:val="-4"/>
                <w:sz w:val="20"/>
              </w:rPr>
              <w:t>p.a.</w:t>
            </w:r>
          </w:p>
        </w:tc>
      </w:tr>
      <w:tr w:rsidR="00D6272B" w14:paraId="6DF2CE64" w14:textId="77777777" w:rsidTr="009B2A0E">
        <w:trPr>
          <w:trHeight w:val="359"/>
        </w:trPr>
        <w:tc>
          <w:tcPr>
            <w:tcW w:w="4674" w:type="dxa"/>
          </w:tcPr>
          <w:p w14:paraId="61218E09" w14:textId="45A509DB" w:rsidR="00D6272B" w:rsidRPr="000C5CC7" w:rsidRDefault="00D6272B" w:rsidP="00D6272B">
            <w:pPr>
              <w:pStyle w:val="TableParagraph"/>
              <w:spacing w:before="69"/>
              <w:rPr>
                <w:sz w:val="20"/>
              </w:rPr>
            </w:pPr>
            <w:r w:rsidRPr="000C5CC7">
              <w:rPr>
                <w:sz w:val="20"/>
              </w:rPr>
              <w:t>L&amp;G PMC Sustainable Property Fund 3</w:t>
            </w:r>
          </w:p>
        </w:tc>
        <w:tc>
          <w:tcPr>
            <w:tcW w:w="1714" w:type="dxa"/>
          </w:tcPr>
          <w:p w14:paraId="5F52CCDA" w14:textId="7C779252" w:rsidR="00D6272B" w:rsidRPr="000C5CC7" w:rsidRDefault="00D6272B" w:rsidP="00D6272B">
            <w:pPr>
              <w:pStyle w:val="TableParagraph"/>
              <w:spacing w:before="69"/>
              <w:ind w:left="1"/>
              <w:jc w:val="center"/>
              <w:rPr>
                <w:sz w:val="20"/>
                <w:highlight w:val="lightGray"/>
              </w:rPr>
            </w:pPr>
            <w:r>
              <w:t>1.99</w:t>
            </w:r>
            <w:r w:rsidRPr="002B44D9">
              <w:t>% p.a.</w:t>
            </w:r>
          </w:p>
        </w:tc>
        <w:tc>
          <w:tcPr>
            <w:tcW w:w="2720" w:type="dxa"/>
          </w:tcPr>
          <w:p w14:paraId="0689C262" w14:textId="33ACBD0A" w:rsidR="00D6272B" w:rsidRPr="000C5CC7" w:rsidRDefault="00D6272B" w:rsidP="00D6272B">
            <w:pPr>
              <w:pStyle w:val="TableParagraph"/>
              <w:spacing w:before="69"/>
              <w:ind w:left="2" w:right="1"/>
              <w:jc w:val="center"/>
              <w:rPr>
                <w:sz w:val="20"/>
                <w:highlight w:val="lightGray"/>
              </w:rPr>
            </w:pPr>
            <w:r w:rsidRPr="002B44D9">
              <w:t>4.4% p.a.</w:t>
            </w:r>
          </w:p>
        </w:tc>
      </w:tr>
      <w:tr w:rsidR="00D6272B" w14:paraId="27E19D02" w14:textId="77777777" w:rsidTr="009B2A0E">
        <w:trPr>
          <w:trHeight w:val="359"/>
        </w:trPr>
        <w:tc>
          <w:tcPr>
            <w:tcW w:w="4674" w:type="dxa"/>
          </w:tcPr>
          <w:p w14:paraId="7075C77B" w14:textId="0609033C" w:rsidR="00D6272B" w:rsidRPr="000C5CC7" w:rsidRDefault="00D6272B" w:rsidP="00D6272B">
            <w:pPr>
              <w:pStyle w:val="TableParagraph"/>
              <w:spacing w:before="69"/>
              <w:rPr>
                <w:sz w:val="20"/>
              </w:rPr>
            </w:pPr>
            <w:r>
              <w:rPr>
                <w:sz w:val="20"/>
              </w:rPr>
              <w:t xml:space="preserve">L&amp;G Cash Fund </w:t>
            </w:r>
          </w:p>
        </w:tc>
        <w:tc>
          <w:tcPr>
            <w:tcW w:w="1714" w:type="dxa"/>
          </w:tcPr>
          <w:p w14:paraId="7172B743" w14:textId="56B0722D" w:rsidR="00D6272B" w:rsidRDefault="00D6272B" w:rsidP="00D6272B">
            <w:pPr>
              <w:pStyle w:val="TableParagraph"/>
              <w:spacing w:before="69"/>
              <w:ind w:left="1"/>
              <w:jc w:val="center"/>
              <w:rPr>
                <w:sz w:val="20"/>
              </w:rPr>
            </w:pPr>
            <w:r>
              <w:t>0.13</w:t>
            </w:r>
            <w:r w:rsidRPr="002B44D9">
              <w:t>% p.a.</w:t>
            </w:r>
          </w:p>
        </w:tc>
        <w:tc>
          <w:tcPr>
            <w:tcW w:w="2720" w:type="dxa"/>
          </w:tcPr>
          <w:p w14:paraId="58ED6FA9" w14:textId="1A095C00" w:rsidR="00D6272B" w:rsidRDefault="00D6272B" w:rsidP="00D6272B">
            <w:pPr>
              <w:pStyle w:val="TableParagraph"/>
              <w:spacing w:before="69"/>
              <w:ind w:left="2" w:right="1"/>
              <w:jc w:val="center"/>
              <w:rPr>
                <w:sz w:val="20"/>
              </w:rPr>
            </w:pPr>
            <w:r>
              <w:t>-0.5</w:t>
            </w:r>
            <w:r w:rsidRPr="002B44D9">
              <w:t>% p.a.</w:t>
            </w:r>
          </w:p>
        </w:tc>
      </w:tr>
    </w:tbl>
    <w:p w14:paraId="533F5DFF" w14:textId="77777777" w:rsidR="00AB3475" w:rsidRDefault="00AB3475">
      <w:pPr>
        <w:pStyle w:val="BodyText"/>
        <w:spacing w:before="25"/>
        <w:rPr>
          <w:sz w:val="20"/>
        </w:rPr>
      </w:pPr>
    </w:p>
    <w:p w14:paraId="533F5E00" w14:textId="043F1A29" w:rsidR="00AB3475" w:rsidRDefault="008D6F52">
      <w:pPr>
        <w:spacing w:before="1"/>
        <w:ind w:left="199"/>
        <w:jc w:val="both"/>
        <w:rPr>
          <w:sz w:val="20"/>
        </w:rPr>
      </w:pPr>
      <w:r>
        <w:rPr>
          <w:position w:val="6"/>
          <w:sz w:val="13"/>
        </w:rPr>
        <w:t>1</w:t>
      </w:r>
      <w:r w:rsidR="00A853B3">
        <w:rPr>
          <w:sz w:val="20"/>
        </w:rPr>
        <w:t>This</w:t>
      </w:r>
      <w:r w:rsidR="00A853B3">
        <w:rPr>
          <w:spacing w:val="-7"/>
          <w:sz w:val="20"/>
        </w:rPr>
        <w:t xml:space="preserve"> </w:t>
      </w:r>
      <w:r w:rsidR="00A853B3">
        <w:rPr>
          <w:sz w:val="20"/>
        </w:rPr>
        <w:t>is</w:t>
      </w:r>
      <w:r w:rsidR="00A853B3">
        <w:rPr>
          <w:spacing w:val="-6"/>
          <w:sz w:val="20"/>
        </w:rPr>
        <w:t xml:space="preserve"> </w:t>
      </w:r>
      <w:r w:rsidR="00A853B3">
        <w:rPr>
          <w:sz w:val="20"/>
        </w:rPr>
        <w:t>the</w:t>
      </w:r>
      <w:r w:rsidR="00A853B3">
        <w:rPr>
          <w:spacing w:val="-7"/>
          <w:sz w:val="20"/>
        </w:rPr>
        <w:t xml:space="preserve"> </w:t>
      </w:r>
      <w:r w:rsidR="00A853B3">
        <w:rPr>
          <w:sz w:val="20"/>
        </w:rPr>
        <w:t>TER</w:t>
      </w:r>
      <w:r w:rsidR="00A853B3">
        <w:rPr>
          <w:spacing w:val="-7"/>
          <w:sz w:val="20"/>
        </w:rPr>
        <w:t xml:space="preserve"> </w:t>
      </w:r>
      <w:r w:rsidR="00A853B3">
        <w:rPr>
          <w:sz w:val="20"/>
        </w:rPr>
        <w:t>plus</w:t>
      </w:r>
      <w:r w:rsidR="00A853B3">
        <w:rPr>
          <w:spacing w:val="-6"/>
          <w:sz w:val="20"/>
        </w:rPr>
        <w:t xml:space="preserve"> </w:t>
      </w:r>
      <w:r w:rsidR="00A853B3">
        <w:rPr>
          <w:sz w:val="20"/>
        </w:rPr>
        <w:t>the</w:t>
      </w:r>
      <w:r w:rsidR="00A853B3">
        <w:rPr>
          <w:spacing w:val="-7"/>
          <w:sz w:val="20"/>
        </w:rPr>
        <w:t xml:space="preserve"> </w:t>
      </w:r>
      <w:r w:rsidR="00A853B3">
        <w:rPr>
          <w:sz w:val="20"/>
        </w:rPr>
        <w:t>averaged</w:t>
      </w:r>
      <w:r w:rsidR="00A853B3">
        <w:rPr>
          <w:spacing w:val="-8"/>
          <w:sz w:val="20"/>
        </w:rPr>
        <w:t xml:space="preserve"> </w:t>
      </w:r>
      <w:r w:rsidR="00A853B3">
        <w:rPr>
          <w:sz w:val="20"/>
        </w:rPr>
        <w:t>transaction</w:t>
      </w:r>
      <w:r w:rsidR="00A853B3">
        <w:rPr>
          <w:spacing w:val="-8"/>
          <w:sz w:val="20"/>
        </w:rPr>
        <w:t xml:space="preserve"> </w:t>
      </w:r>
      <w:r w:rsidR="00A853B3">
        <w:rPr>
          <w:spacing w:val="-2"/>
          <w:sz w:val="20"/>
        </w:rPr>
        <w:t>costs</w:t>
      </w:r>
    </w:p>
    <w:p w14:paraId="533F5E01" w14:textId="77777777" w:rsidR="00AB3475" w:rsidRDefault="00AB3475">
      <w:pPr>
        <w:pStyle w:val="BodyText"/>
        <w:rPr>
          <w:sz w:val="20"/>
        </w:rPr>
      </w:pPr>
    </w:p>
    <w:p w14:paraId="533F5E02" w14:textId="77777777" w:rsidR="00AB3475" w:rsidRDefault="00AB3475">
      <w:pPr>
        <w:pStyle w:val="BodyText"/>
        <w:spacing w:before="47"/>
        <w:rPr>
          <w:sz w:val="20"/>
        </w:rPr>
      </w:pPr>
    </w:p>
    <w:p w14:paraId="533F5E03" w14:textId="77777777" w:rsidR="00AB3475" w:rsidRDefault="00A853B3" w:rsidP="00372A58">
      <w:pPr>
        <w:pStyle w:val="Heading2"/>
        <w:numPr>
          <w:ilvl w:val="0"/>
          <w:numId w:val="19"/>
        </w:numPr>
        <w:tabs>
          <w:tab w:val="left" w:pos="445"/>
        </w:tabs>
        <w:ind w:left="445" w:hanging="246"/>
      </w:pPr>
      <w:r>
        <w:t>Processing</w:t>
      </w:r>
      <w:r>
        <w:rPr>
          <w:spacing w:val="-7"/>
        </w:rPr>
        <w:t xml:space="preserve"> </w:t>
      </w:r>
      <w:r>
        <w:t>of</w:t>
      </w:r>
      <w:r>
        <w:rPr>
          <w:spacing w:val="-5"/>
        </w:rPr>
        <w:t xml:space="preserve"> </w:t>
      </w:r>
      <w:r>
        <w:t>Core</w:t>
      </w:r>
      <w:r>
        <w:rPr>
          <w:spacing w:val="-8"/>
        </w:rPr>
        <w:t xml:space="preserve"> </w:t>
      </w:r>
      <w:r>
        <w:t>Financial</w:t>
      </w:r>
      <w:r>
        <w:rPr>
          <w:spacing w:val="-4"/>
        </w:rPr>
        <w:t xml:space="preserve"> </w:t>
      </w:r>
      <w:r>
        <w:rPr>
          <w:spacing w:val="-2"/>
        </w:rPr>
        <w:t>Transactions</w:t>
      </w:r>
    </w:p>
    <w:p w14:paraId="533F5E06" w14:textId="78F9DFBB" w:rsidR="00AB3475" w:rsidRDefault="00A853B3" w:rsidP="00344243">
      <w:pPr>
        <w:pStyle w:val="BodyText"/>
        <w:spacing w:before="239"/>
        <w:ind w:left="199" w:right="556"/>
        <w:jc w:val="both"/>
      </w:pPr>
      <w:r>
        <w:t>The</w:t>
      </w:r>
      <w:r>
        <w:rPr>
          <w:spacing w:val="-12"/>
        </w:rPr>
        <w:t xml:space="preserve"> </w:t>
      </w:r>
      <w:r>
        <w:t>Trustee</w:t>
      </w:r>
      <w:r>
        <w:rPr>
          <w:spacing w:val="-12"/>
        </w:rPr>
        <w:t xml:space="preserve"> </w:t>
      </w:r>
      <w:r>
        <w:t>has</w:t>
      </w:r>
      <w:r>
        <w:rPr>
          <w:spacing w:val="-8"/>
        </w:rPr>
        <w:t xml:space="preserve"> </w:t>
      </w:r>
      <w:r>
        <w:t>a</w:t>
      </w:r>
      <w:r>
        <w:rPr>
          <w:spacing w:val="-9"/>
        </w:rPr>
        <w:t xml:space="preserve"> </w:t>
      </w:r>
      <w:r>
        <w:t>specific</w:t>
      </w:r>
      <w:r>
        <w:rPr>
          <w:spacing w:val="-8"/>
        </w:rPr>
        <w:t xml:space="preserve"> </w:t>
      </w:r>
      <w:r>
        <w:t>duty</w:t>
      </w:r>
      <w:r>
        <w:rPr>
          <w:spacing w:val="-11"/>
        </w:rPr>
        <w:t xml:space="preserve"> </w:t>
      </w:r>
      <w:r>
        <w:t>to</w:t>
      </w:r>
      <w:r>
        <w:rPr>
          <w:spacing w:val="-9"/>
        </w:rPr>
        <w:t xml:space="preserve"> </w:t>
      </w:r>
      <w:r>
        <w:t>ensure</w:t>
      </w:r>
      <w:r>
        <w:rPr>
          <w:spacing w:val="-9"/>
        </w:rPr>
        <w:t xml:space="preserve"> </w:t>
      </w:r>
      <w:r>
        <w:t>that</w:t>
      </w:r>
      <w:r>
        <w:rPr>
          <w:spacing w:val="-7"/>
        </w:rPr>
        <w:t xml:space="preserve"> </w:t>
      </w:r>
      <w:r>
        <w:t>core</w:t>
      </w:r>
      <w:r>
        <w:rPr>
          <w:spacing w:val="-14"/>
        </w:rPr>
        <w:t xml:space="preserve"> </w:t>
      </w:r>
      <w:r>
        <w:t>financial</w:t>
      </w:r>
      <w:r>
        <w:rPr>
          <w:spacing w:val="-10"/>
        </w:rPr>
        <w:t xml:space="preserve"> </w:t>
      </w:r>
      <w:r>
        <w:t>transactions</w:t>
      </w:r>
      <w:r>
        <w:rPr>
          <w:spacing w:val="-8"/>
        </w:rPr>
        <w:t xml:space="preserve"> </w:t>
      </w:r>
      <w:r>
        <w:t>are</w:t>
      </w:r>
      <w:r>
        <w:rPr>
          <w:spacing w:val="-9"/>
        </w:rPr>
        <w:t xml:space="preserve"> </w:t>
      </w:r>
      <w:r>
        <w:t>processed</w:t>
      </w:r>
      <w:r>
        <w:rPr>
          <w:spacing w:val="-9"/>
        </w:rPr>
        <w:t xml:space="preserve"> </w:t>
      </w:r>
      <w:r>
        <w:t>promptly and accurately.</w:t>
      </w:r>
      <w:r>
        <w:rPr>
          <w:spacing w:val="40"/>
        </w:rPr>
        <w:t xml:space="preserve"> </w:t>
      </w:r>
      <w:r>
        <w:t xml:space="preserve">Core financial transactions include the investment of contributions, transfer of member funds into and out of </w:t>
      </w:r>
      <w:r w:rsidR="003B29DD">
        <w:t>the Fund</w:t>
      </w:r>
      <w:r>
        <w:t xml:space="preserve">, transfers between different investments within </w:t>
      </w:r>
      <w:r w:rsidR="003B29DD">
        <w:t>the Fund</w:t>
      </w:r>
      <w:r>
        <w:t xml:space="preserve"> and payments from </w:t>
      </w:r>
      <w:r w:rsidR="003B29DD">
        <w:t>the Fund</w:t>
      </w:r>
      <w:r>
        <w:t xml:space="preserve"> to and in respect of members/beneficiaries.</w:t>
      </w:r>
    </w:p>
    <w:p w14:paraId="533F5E07" w14:textId="77777777" w:rsidR="00AB3475" w:rsidRDefault="00AB3475">
      <w:pPr>
        <w:pStyle w:val="BodyText"/>
        <w:spacing w:before="174"/>
      </w:pPr>
    </w:p>
    <w:p w14:paraId="533F5E08" w14:textId="405960BD" w:rsidR="00AB3475" w:rsidRDefault="00BA5BA3" w:rsidP="00372A58">
      <w:pPr>
        <w:pStyle w:val="Heading2"/>
        <w:numPr>
          <w:ilvl w:val="1"/>
          <w:numId w:val="19"/>
        </w:numPr>
        <w:tabs>
          <w:tab w:val="left" w:pos="622"/>
        </w:tabs>
        <w:ind w:left="622" w:hanging="423"/>
      </w:pPr>
      <w:r>
        <w:rPr>
          <w:spacing w:val="-2"/>
        </w:rPr>
        <w:t>Defined Contribution</w:t>
      </w:r>
      <w:r>
        <w:rPr>
          <w:spacing w:val="-8"/>
        </w:rPr>
        <w:t xml:space="preserve"> </w:t>
      </w:r>
      <w:r>
        <w:rPr>
          <w:spacing w:val="-2"/>
        </w:rPr>
        <w:t>section</w:t>
      </w:r>
    </w:p>
    <w:p w14:paraId="533F5E09" w14:textId="1C312022" w:rsidR="00AB3475" w:rsidRDefault="00A853B3">
      <w:pPr>
        <w:pStyle w:val="BodyText"/>
        <w:spacing w:before="239"/>
        <w:ind w:left="199" w:right="552"/>
        <w:jc w:val="both"/>
      </w:pPr>
      <w:r>
        <w:t>The</w:t>
      </w:r>
      <w:r>
        <w:rPr>
          <w:spacing w:val="-3"/>
        </w:rPr>
        <w:t xml:space="preserve"> </w:t>
      </w:r>
      <w:r>
        <w:t>bulk of</w:t>
      </w:r>
      <w:r>
        <w:rPr>
          <w:spacing w:val="-2"/>
        </w:rPr>
        <w:t xml:space="preserve"> </w:t>
      </w:r>
      <w:r>
        <w:t>the</w:t>
      </w:r>
      <w:r>
        <w:rPr>
          <w:spacing w:val="-3"/>
        </w:rPr>
        <w:t xml:space="preserve"> </w:t>
      </w:r>
      <w:r>
        <w:t>core</w:t>
      </w:r>
      <w:r>
        <w:rPr>
          <w:spacing w:val="-5"/>
        </w:rPr>
        <w:t xml:space="preserve"> </w:t>
      </w:r>
      <w:r>
        <w:t>financial</w:t>
      </w:r>
      <w:r>
        <w:rPr>
          <w:spacing w:val="-2"/>
        </w:rPr>
        <w:t xml:space="preserve"> </w:t>
      </w:r>
      <w:r>
        <w:t>transactions are</w:t>
      </w:r>
      <w:r>
        <w:rPr>
          <w:spacing w:val="-3"/>
        </w:rPr>
        <w:t xml:space="preserve"> </w:t>
      </w:r>
      <w:r>
        <w:t>undertaken</w:t>
      </w:r>
      <w:r>
        <w:rPr>
          <w:spacing w:val="-3"/>
        </w:rPr>
        <w:t xml:space="preserve"> </w:t>
      </w:r>
      <w:r>
        <w:t>on</w:t>
      </w:r>
      <w:r>
        <w:rPr>
          <w:spacing w:val="-3"/>
        </w:rPr>
        <w:t xml:space="preserve"> </w:t>
      </w:r>
      <w:r>
        <w:t>behalf of</w:t>
      </w:r>
      <w:r>
        <w:rPr>
          <w:spacing w:val="-2"/>
        </w:rPr>
        <w:t xml:space="preserve"> </w:t>
      </w:r>
      <w:r>
        <w:t>the</w:t>
      </w:r>
      <w:r>
        <w:rPr>
          <w:spacing w:val="-6"/>
        </w:rPr>
        <w:t xml:space="preserve"> </w:t>
      </w:r>
      <w:r>
        <w:t>Trustee</w:t>
      </w:r>
      <w:r>
        <w:rPr>
          <w:spacing w:val="-1"/>
        </w:rPr>
        <w:t xml:space="preserve"> </w:t>
      </w:r>
      <w:r>
        <w:t>by</w:t>
      </w:r>
      <w:r>
        <w:rPr>
          <w:spacing w:val="-3"/>
        </w:rPr>
        <w:t xml:space="preserve"> </w:t>
      </w:r>
      <w:r>
        <w:t>L&amp;G.</w:t>
      </w:r>
      <w:r>
        <w:rPr>
          <w:spacing w:val="40"/>
        </w:rPr>
        <w:t xml:space="preserve"> </w:t>
      </w:r>
      <w:r w:rsidR="003B29DD">
        <w:t xml:space="preserve">The </w:t>
      </w:r>
      <w:r w:rsidR="00745739">
        <w:t>Company is</w:t>
      </w:r>
      <w:r>
        <w:t xml:space="preserve"> responsible for ensuring that contributions are paid to </w:t>
      </w:r>
      <w:r w:rsidR="003B29DD">
        <w:t>the Fund</w:t>
      </w:r>
      <w:r>
        <w:t xml:space="preserve"> promptly.</w:t>
      </w:r>
      <w:r>
        <w:rPr>
          <w:spacing w:val="40"/>
        </w:rPr>
        <w:t xml:space="preserve"> </w:t>
      </w:r>
      <w:r>
        <w:t xml:space="preserve">The </w:t>
      </w:r>
      <w:r w:rsidR="00DD778E">
        <w:t>Pension Fund Office</w:t>
      </w:r>
      <w:r>
        <w:t xml:space="preserve"> </w:t>
      </w:r>
      <w:r w:rsidR="00745739">
        <w:t xml:space="preserve">monitors the </w:t>
      </w:r>
      <w:r>
        <w:t xml:space="preserve">contributions </w:t>
      </w:r>
      <w:r w:rsidR="003D4D3C">
        <w:t>paid and investigates any anomalies.</w:t>
      </w:r>
      <w:r>
        <w:t xml:space="preserve"> The </w:t>
      </w:r>
      <w:r w:rsidR="00DD778E">
        <w:t>Pension Fund Office</w:t>
      </w:r>
      <w:r>
        <w:t xml:space="preserve"> reports</w:t>
      </w:r>
      <w:r>
        <w:rPr>
          <w:spacing w:val="-1"/>
        </w:rPr>
        <w:t xml:space="preserve"> </w:t>
      </w:r>
      <w:r>
        <w:t>SLA performance</w:t>
      </w:r>
      <w:r>
        <w:rPr>
          <w:spacing w:val="-1"/>
        </w:rPr>
        <w:t xml:space="preserve"> </w:t>
      </w:r>
      <w:r>
        <w:t xml:space="preserve">to the </w:t>
      </w:r>
      <w:r w:rsidR="0061338D">
        <w:t>Trustee</w:t>
      </w:r>
      <w:r>
        <w:t>.</w:t>
      </w:r>
      <w:r>
        <w:rPr>
          <w:spacing w:val="40"/>
        </w:rPr>
        <w:t xml:space="preserve"> </w:t>
      </w:r>
      <w:r>
        <w:t xml:space="preserve">The </w:t>
      </w:r>
      <w:r w:rsidR="0061338D">
        <w:t>Trustee monitors</w:t>
      </w:r>
      <w:r>
        <w:rPr>
          <w:spacing w:val="-1"/>
        </w:rPr>
        <w:t xml:space="preserve"> </w:t>
      </w:r>
      <w:r>
        <w:t>the allocation of contributions based upon the quarterly administration reports provided by L&amp;G.</w:t>
      </w:r>
    </w:p>
    <w:p w14:paraId="533F5E0A" w14:textId="01D87594" w:rsidR="00AB3475" w:rsidRDefault="00A853B3">
      <w:pPr>
        <w:pStyle w:val="BodyText"/>
        <w:spacing w:before="253"/>
        <w:ind w:left="199" w:right="552"/>
        <w:jc w:val="both"/>
      </w:pPr>
      <w:r>
        <w:t>The</w:t>
      </w:r>
      <w:r>
        <w:rPr>
          <w:spacing w:val="-14"/>
        </w:rPr>
        <w:t xml:space="preserve"> </w:t>
      </w:r>
      <w:r>
        <w:t>Trustee</w:t>
      </w:r>
      <w:r>
        <w:rPr>
          <w:spacing w:val="-9"/>
        </w:rPr>
        <w:t xml:space="preserve"> </w:t>
      </w:r>
      <w:r>
        <w:t>has</w:t>
      </w:r>
      <w:r>
        <w:rPr>
          <w:spacing w:val="-8"/>
        </w:rPr>
        <w:t xml:space="preserve"> </w:t>
      </w:r>
      <w:r w:rsidR="00AA2E60">
        <w:t>a</w:t>
      </w:r>
      <w:r>
        <w:rPr>
          <w:spacing w:val="-11"/>
        </w:rPr>
        <w:t xml:space="preserve"> </w:t>
      </w:r>
      <w:r>
        <w:t>SLA</w:t>
      </w:r>
      <w:r>
        <w:rPr>
          <w:spacing w:val="-10"/>
        </w:rPr>
        <w:t xml:space="preserve"> </w:t>
      </w:r>
      <w:r>
        <w:t>in</w:t>
      </w:r>
      <w:r>
        <w:rPr>
          <w:spacing w:val="-9"/>
        </w:rPr>
        <w:t xml:space="preserve"> </w:t>
      </w:r>
      <w:r>
        <w:t>place</w:t>
      </w:r>
      <w:r>
        <w:rPr>
          <w:spacing w:val="-9"/>
        </w:rPr>
        <w:t xml:space="preserve"> </w:t>
      </w:r>
      <w:r>
        <w:t>with</w:t>
      </w:r>
      <w:r>
        <w:rPr>
          <w:spacing w:val="-9"/>
        </w:rPr>
        <w:t xml:space="preserve"> </w:t>
      </w:r>
      <w:r>
        <w:t>L&amp;G.</w:t>
      </w:r>
      <w:r>
        <w:rPr>
          <w:spacing w:val="40"/>
        </w:rPr>
        <w:t xml:space="preserve"> </w:t>
      </w:r>
      <w:r>
        <w:t>This</w:t>
      </w:r>
      <w:r>
        <w:rPr>
          <w:spacing w:val="-8"/>
        </w:rPr>
        <w:t xml:space="preserve"> </w:t>
      </w:r>
      <w:r>
        <w:t>details</w:t>
      </w:r>
      <w:r>
        <w:rPr>
          <w:spacing w:val="-8"/>
        </w:rPr>
        <w:t xml:space="preserve"> </w:t>
      </w:r>
      <w:r>
        <w:t>a</w:t>
      </w:r>
      <w:r>
        <w:rPr>
          <w:spacing w:val="-9"/>
        </w:rPr>
        <w:t xml:space="preserve"> </w:t>
      </w:r>
      <w:r>
        <w:t>number</w:t>
      </w:r>
      <w:r>
        <w:rPr>
          <w:spacing w:val="-10"/>
        </w:rPr>
        <w:t xml:space="preserve"> </w:t>
      </w:r>
      <w:r>
        <w:t>of</w:t>
      </w:r>
      <w:r>
        <w:rPr>
          <w:spacing w:val="-10"/>
        </w:rPr>
        <w:t xml:space="preserve"> </w:t>
      </w:r>
      <w:r>
        <w:t>key</w:t>
      </w:r>
      <w:r>
        <w:rPr>
          <w:spacing w:val="-11"/>
        </w:rPr>
        <w:t xml:space="preserve"> </w:t>
      </w:r>
      <w:r>
        <w:t>administration</w:t>
      </w:r>
      <w:r>
        <w:rPr>
          <w:spacing w:val="-5"/>
        </w:rPr>
        <w:t xml:space="preserve"> </w:t>
      </w:r>
      <w:r>
        <w:t>processes to be performed and the target timescale within which each of these processes need to be completed.</w:t>
      </w:r>
      <w:r>
        <w:rPr>
          <w:spacing w:val="-8"/>
        </w:rPr>
        <w:t xml:space="preserve"> </w:t>
      </w:r>
      <w:r>
        <w:t>The</w:t>
      </w:r>
      <w:r>
        <w:rPr>
          <w:spacing w:val="-7"/>
        </w:rPr>
        <w:t xml:space="preserve"> </w:t>
      </w:r>
      <w:r>
        <w:t>SLA</w:t>
      </w:r>
      <w:r>
        <w:rPr>
          <w:spacing w:val="-7"/>
        </w:rPr>
        <w:t xml:space="preserve"> </w:t>
      </w:r>
      <w:r>
        <w:t>covers</w:t>
      </w:r>
      <w:r>
        <w:rPr>
          <w:spacing w:val="-6"/>
        </w:rPr>
        <w:t xml:space="preserve"> </w:t>
      </w:r>
      <w:r>
        <w:t>the</w:t>
      </w:r>
      <w:r>
        <w:rPr>
          <w:spacing w:val="-6"/>
        </w:rPr>
        <w:t xml:space="preserve"> </w:t>
      </w:r>
      <w:r>
        <w:t>accuracy</w:t>
      </w:r>
      <w:r>
        <w:rPr>
          <w:spacing w:val="-8"/>
        </w:rPr>
        <w:t xml:space="preserve"> </w:t>
      </w:r>
      <w:r>
        <w:t>and</w:t>
      </w:r>
      <w:r>
        <w:rPr>
          <w:spacing w:val="-7"/>
        </w:rPr>
        <w:t xml:space="preserve"> </w:t>
      </w:r>
      <w:r>
        <w:t>timeliness</w:t>
      </w:r>
      <w:r>
        <w:rPr>
          <w:spacing w:val="-6"/>
        </w:rPr>
        <w:t xml:space="preserve"> </w:t>
      </w:r>
      <w:r>
        <w:t>of</w:t>
      </w:r>
      <w:r>
        <w:rPr>
          <w:spacing w:val="-3"/>
        </w:rPr>
        <w:t xml:space="preserve"> </w:t>
      </w:r>
      <w:r>
        <w:t>all</w:t>
      </w:r>
      <w:r>
        <w:rPr>
          <w:spacing w:val="-7"/>
        </w:rPr>
        <w:t xml:space="preserve"> </w:t>
      </w:r>
      <w:r>
        <w:t>core</w:t>
      </w:r>
      <w:r>
        <w:rPr>
          <w:spacing w:val="-8"/>
        </w:rPr>
        <w:t xml:space="preserve"> </w:t>
      </w:r>
      <w:r>
        <w:t>financial</w:t>
      </w:r>
      <w:r>
        <w:rPr>
          <w:spacing w:val="-7"/>
        </w:rPr>
        <w:t xml:space="preserve"> </w:t>
      </w:r>
      <w:r>
        <w:t>transactions.</w:t>
      </w:r>
      <w:r>
        <w:rPr>
          <w:spacing w:val="40"/>
        </w:rPr>
        <w:t xml:space="preserve"> </w:t>
      </w:r>
      <w:r>
        <w:t>Under the</w:t>
      </w:r>
      <w:r>
        <w:rPr>
          <w:spacing w:val="-5"/>
        </w:rPr>
        <w:t xml:space="preserve"> </w:t>
      </w:r>
      <w:r>
        <w:t>current</w:t>
      </w:r>
      <w:r>
        <w:rPr>
          <w:spacing w:val="-4"/>
        </w:rPr>
        <w:t xml:space="preserve"> </w:t>
      </w:r>
      <w:r>
        <w:t>SLA,</w:t>
      </w:r>
      <w:r>
        <w:rPr>
          <w:spacing w:val="-4"/>
        </w:rPr>
        <w:t xml:space="preserve"> </w:t>
      </w:r>
      <w:r>
        <w:t>L&amp;G</w:t>
      </w:r>
      <w:r>
        <w:rPr>
          <w:spacing w:val="-4"/>
        </w:rPr>
        <w:t xml:space="preserve"> </w:t>
      </w:r>
      <w:r>
        <w:t>aims</w:t>
      </w:r>
      <w:r>
        <w:rPr>
          <w:spacing w:val="-7"/>
        </w:rPr>
        <w:t xml:space="preserve"> </w:t>
      </w:r>
      <w:r>
        <w:t>to</w:t>
      </w:r>
      <w:r>
        <w:rPr>
          <w:spacing w:val="-5"/>
        </w:rPr>
        <w:t xml:space="preserve"> </w:t>
      </w:r>
      <w:r>
        <w:t>complete</w:t>
      </w:r>
      <w:r>
        <w:rPr>
          <w:spacing w:val="-4"/>
        </w:rPr>
        <w:t xml:space="preserve"> </w:t>
      </w:r>
      <w:r>
        <w:t>investment</w:t>
      </w:r>
      <w:r>
        <w:rPr>
          <w:spacing w:val="-4"/>
        </w:rPr>
        <w:t xml:space="preserve"> </w:t>
      </w:r>
      <w:r>
        <w:t>of</w:t>
      </w:r>
      <w:r>
        <w:rPr>
          <w:spacing w:val="-4"/>
        </w:rPr>
        <w:t xml:space="preserve"> </w:t>
      </w:r>
      <w:r>
        <w:t>contributions</w:t>
      </w:r>
      <w:r>
        <w:rPr>
          <w:spacing w:val="-5"/>
        </w:rPr>
        <w:t xml:space="preserve"> </w:t>
      </w:r>
      <w:r>
        <w:t>within</w:t>
      </w:r>
      <w:r>
        <w:rPr>
          <w:spacing w:val="-5"/>
        </w:rPr>
        <w:t xml:space="preserve"> </w:t>
      </w:r>
      <w:r>
        <w:t>24</w:t>
      </w:r>
      <w:r>
        <w:rPr>
          <w:spacing w:val="-5"/>
        </w:rPr>
        <w:t xml:space="preserve"> </w:t>
      </w:r>
      <w:r>
        <w:t>hours,</w:t>
      </w:r>
      <w:r>
        <w:rPr>
          <w:spacing w:val="-4"/>
        </w:rPr>
        <w:t xml:space="preserve"> </w:t>
      </w:r>
      <w:r>
        <w:t>and</w:t>
      </w:r>
      <w:r>
        <w:rPr>
          <w:spacing w:val="-5"/>
        </w:rPr>
        <w:t xml:space="preserve"> </w:t>
      </w:r>
      <w:r>
        <w:t>all</w:t>
      </w:r>
      <w:r>
        <w:rPr>
          <w:spacing w:val="-6"/>
        </w:rPr>
        <w:t xml:space="preserve"> </w:t>
      </w:r>
      <w:r>
        <w:t>other core financial transactions within 5 working days.</w:t>
      </w:r>
    </w:p>
    <w:p w14:paraId="533F5E0B" w14:textId="77777777" w:rsidR="00AB3475" w:rsidRDefault="00AB3475">
      <w:pPr>
        <w:pStyle w:val="BodyText"/>
        <w:spacing w:before="1"/>
      </w:pPr>
    </w:p>
    <w:p w14:paraId="533F5E0C" w14:textId="218AA9DC" w:rsidR="00AB3475" w:rsidRDefault="00A853B3">
      <w:pPr>
        <w:pStyle w:val="BodyText"/>
        <w:ind w:left="199" w:right="553"/>
        <w:jc w:val="both"/>
      </w:pPr>
      <w:r>
        <w:t xml:space="preserve">L&amp;G uses automated processes wherever possible, to avoid the need for manual intervention. </w:t>
      </w:r>
      <w:r w:rsidR="00AA2E60">
        <w:t>However,</w:t>
      </w:r>
      <w:r>
        <w:t xml:space="preserve"> there will always be some manual tasks and L&amp;G has processes in place to ensure these are completed promptly and accurately.</w:t>
      </w:r>
      <w:r>
        <w:rPr>
          <w:spacing w:val="40"/>
        </w:rPr>
        <w:t xml:space="preserve"> </w:t>
      </w:r>
      <w:r>
        <w:t>These processes include:</w:t>
      </w:r>
    </w:p>
    <w:p w14:paraId="533F5E0D" w14:textId="77777777" w:rsidR="00AB3475" w:rsidRDefault="00AB3475">
      <w:pPr>
        <w:pStyle w:val="BodyText"/>
        <w:spacing w:before="3"/>
      </w:pPr>
    </w:p>
    <w:p w14:paraId="533F5E0E" w14:textId="77777777" w:rsidR="00AB3475" w:rsidRDefault="00A853B3" w:rsidP="00372A58">
      <w:pPr>
        <w:pStyle w:val="ListParagraph"/>
        <w:numPr>
          <w:ilvl w:val="2"/>
          <w:numId w:val="19"/>
        </w:numPr>
        <w:tabs>
          <w:tab w:val="left" w:pos="766"/>
        </w:tabs>
        <w:spacing w:line="237" w:lineRule="auto"/>
        <w:ind w:right="554"/>
        <w:jc w:val="both"/>
      </w:pPr>
      <w:r>
        <w:t>Use of a standard operating procedure manual (this is a guide which is used by the administration</w:t>
      </w:r>
      <w:r>
        <w:rPr>
          <w:spacing w:val="-9"/>
        </w:rPr>
        <w:t xml:space="preserve"> </w:t>
      </w:r>
      <w:r>
        <w:t>team</w:t>
      </w:r>
      <w:r>
        <w:rPr>
          <w:spacing w:val="-8"/>
        </w:rPr>
        <w:t xml:space="preserve"> </w:t>
      </w:r>
      <w:r>
        <w:t>to</w:t>
      </w:r>
      <w:r>
        <w:rPr>
          <w:spacing w:val="-9"/>
        </w:rPr>
        <w:t xml:space="preserve"> </w:t>
      </w:r>
      <w:r>
        <w:t>ensure</w:t>
      </w:r>
      <w:r>
        <w:rPr>
          <w:spacing w:val="-8"/>
        </w:rPr>
        <w:t xml:space="preserve"> </w:t>
      </w:r>
      <w:r>
        <w:t>that</w:t>
      </w:r>
      <w:r>
        <w:rPr>
          <w:spacing w:val="-7"/>
        </w:rPr>
        <w:t xml:space="preserve"> </w:t>
      </w:r>
      <w:r>
        <w:t>repeat</w:t>
      </w:r>
      <w:r>
        <w:rPr>
          <w:spacing w:val="-10"/>
        </w:rPr>
        <w:t xml:space="preserve"> </w:t>
      </w:r>
      <w:r>
        <w:t>tasks</w:t>
      </w:r>
      <w:r>
        <w:rPr>
          <w:spacing w:val="-8"/>
        </w:rPr>
        <w:t xml:space="preserve"> </w:t>
      </w:r>
      <w:r>
        <w:t>are</w:t>
      </w:r>
      <w:r>
        <w:rPr>
          <w:spacing w:val="-9"/>
        </w:rPr>
        <w:t xml:space="preserve"> </w:t>
      </w:r>
      <w:r>
        <w:t>carried</w:t>
      </w:r>
      <w:r>
        <w:rPr>
          <w:spacing w:val="-9"/>
        </w:rPr>
        <w:t xml:space="preserve"> </w:t>
      </w:r>
      <w:r>
        <w:t>out</w:t>
      </w:r>
      <w:r>
        <w:rPr>
          <w:spacing w:val="-7"/>
        </w:rPr>
        <w:t xml:space="preserve"> </w:t>
      </w:r>
      <w:r>
        <w:t>in</w:t>
      </w:r>
      <w:r>
        <w:rPr>
          <w:spacing w:val="-9"/>
        </w:rPr>
        <w:t xml:space="preserve"> </w:t>
      </w:r>
      <w:r>
        <w:t>the</w:t>
      </w:r>
      <w:r>
        <w:rPr>
          <w:spacing w:val="-9"/>
        </w:rPr>
        <w:t xml:space="preserve"> </w:t>
      </w:r>
      <w:r>
        <w:t>same</w:t>
      </w:r>
      <w:r>
        <w:rPr>
          <w:spacing w:val="-11"/>
        </w:rPr>
        <w:t xml:space="preserve"> </w:t>
      </w:r>
      <w:r>
        <w:t>way</w:t>
      </w:r>
      <w:r>
        <w:rPr>
          <w:spacing w:val="-11"/>
        </w:rPr>
        <w:t xml:space="preserve"> </w:t>
      </w:r>
      <w:r>
        <w:t>each</w:t>
      </w:r>
      <w:r>
        <w:rPr>
          <w:spacing w:val="-9"/>
        </w:rPr>
        <w:t xml:space="preserve"> </w:t>
      </w:r>
      <w:r>
        <w:t>time).</w:t>
      </w:r>
    </w:p>
    <w:p w14:paraId="533F5E0F" w14:textId="77777777" w:rsidR="00AB3475" w:rsidRDefault="00A853B3" w:rsidP="00372A58">
      <w:pPr>
        <w:pStyle w:val="ListParagraph"/>
        <w:numPr>
          <w:ilvl w:val="2"/>
          <w:numId w:val="19"/>
        </w:numPr>
        <w:tabs>
          <w:tab w:val="left" w:pos="765"/>
        </w:tabs>
        <w:spacing w:before="121"/>
        <w:ind w:left="765" w:hanging="359"/>
        <w:jc w:val="both"/>
      </w:pPr>
      <w:r>
        <w:t>Quality</w:t>
      </w:r>
      <w:r>
        <w:rPr>
          <w:spacing w:val="-8"/>
        </w:rPr>
        <w:t xml:space="preserve"> </w:t>
      </w:r>
      <w:r>
        <w:t>/</w:t>
      </w:r>
      <w:r>
        <w:rPr>
          <w:spacing w:val="-2"/>
        </w:rPr>
        <w:t xml:space="preserve"> </w:t>
      </w:r>
      <w:r>
        <w:t>in-line</w:t>
      </w:r>
      <w:r>
        <w:rPr>
          <w:spacing w:val="-3"/>
        </w:rPr>
        <w:t xml:space="preserve"> </w:t>
      </w:r>
      <w:r>
        <w:t>checking</w:t>
      </w:r>
      <w:r>
        <w:rPr>
          <w:spacing w:val="-6"/>
        </w:rPr>
        <w:t xml:space="preserve"> </w:t>
      </w:r>
      <w:r>
        <w:t>of</w:t>
      </w:r>
      <w:r>
        <w:rPr>
          <w:spacing w:val="-2"/>
        </w:rPr>
        <w:t xml:space="preserve"> </w:t>
      </w:r>
      <w:r>
        <w:t>tasks</w:t>
      </w:r>
      <w:r>
        <w:rPr>
          <w:spacing w:val="-5"/>
        </w:rPr>
        <w:t xml:space="preserve"> </w:t>
      </w:r>
      <w:r>
        <w:t>by</w:t>
      </w:r>
      <w:r>
        <w:rPr>
          <w:spacing w:val="-6"/>
        </w:rPr>
        <w:t xml:space="preserve"> </w:t>
      </w:r>
      <w:r>
        <w:t>another</w:t>
      </w:r>
      <w:r>
        <w:rPr>
          <w:spacing w:val="-4"/>
        </w:rPr>
        <w:t xml:space="preserve"> </w:t>
      </w:r>
      <w:r>
        <w:rPr>
          <w:spacing w:val="-2"/>
        </w:rPr>
        <w:t>individual.</w:t>
      </w:r>
    </w:p>
    <w:p w14:paraId="533F5E10" w14:textId="77777777" w:rsidR="00AB3475" w:rsidRDefault="00A853B3" w:rsidP="00372A58">
      <w:pPr>
        <w:pStyle w:val="ListParagraph"/>
        <w:numPr>
          <w:ilvl w:val="2"/>
          <w:numId w:val="19"/>
        </w:numPr>
        <w:tabs>
          <w:tab w:val="left" w:pos="766"/>
        </w:tabs>
        <w:spacing w:before="122" w:line="237" w:lineRule="auto"/>
        <w:ind w:right="559"/>
        <w:jc w:val="both"/>
      </w:pPr>
      <w:r>
        <w:t>Quality sampling, where a number of cases per process and/or per member of staff are sampled to be checked by more senior or experienced members of staff, who are in turn subject to checks by another team.</w:t>
      </w:r>
    </w:p>
    <w:p w14:paraId="533F5E11" w14:textId="77777777" w:rsidR="00AB3475" w:rsidRDefault="00A853B3" w:rsidP="00372A58">
      <w:pPr>
        <w:pStyle w:val="ListParagraph"/>
        <w:numPr>
          <w:ilvl w:val="2"/>
          <w:numId w:val="19"/>
        </w:numPr>
        <w:tabs>
          <w:tab w:val="left" w:pos="766"/>
        </w:tabs>
        <w:spacing w:before="125" w:line="237" w:lineRule="auto"/>
        <w:ind w:right="562"/>
        <w:jc w:val="both"/>
      </w:pPr>
      <w:r>
        <w:t>Daily monitoring of bank accounts and daily processing of both contribution</w:t>
      </w:r>
      <w:r>
        <w:rPr>
          <w:spacing w:val="-1"/>
        </w:rPr>
        <w:t xml:space="preserve"> </w:t>
      </w:r>
      <w:r>
        <w:t xml:space="preserve">files and cash </w:t>
      </w:r>
      <w:r>
        <w:rPr>
          <w:spacing w:val="-2"/>
        </w:rPr>
        <w:t>allocation.</w:t>
      </w:r>
    </w:p>
    <w:p w14:paraId="533F5E12" w14:textId="6B89FB7D" w:rsidR="00AB3475" w:rsidRDefault="00A853B3" w:rsidP="00372A58">
      <w:pPr>
        <w:pStyle w:val="ListParagraph"/>
        <w:numPr>
          <w:ilvl w:val="2"/>
          <w:numId w:val="19"/>
        </w:numPr>
        <w:tabs>
          <w:tab w:val="left" w:pos="764"/>
          <w:tab w:val="left" w:pos="766"/>
        </w:tabs>
        <w:spacing w:before="122"/>
        <w:ind w:right="554" w:hanging="356"/>
        <w:jc w:val="both"/>
      </w:pPr>
      <w:r>
        <w:t>Use</w:t>
      </w:r>
      <w:r>
        <w:rPr>
          <w:spacing w:val="-10"/>
        </w:rPr>
        <w:t xml:space="preserve"> </w:t>
      </w:r>
      <w:r>
        <w:t>of</w:t>
      </w:r>
      <w:r>
        <w:rPr>
          <w:spacing w:val="-8"/>
        </w:rPr>
        <w:t xml:space="preserve"> </w:t>
      </w:r>
      <w:r>
        <w:t>an</w:t>
      </w:r>
      <w:r>
        <w:rPr>
          <w:spacing w:val="-10"/>
        </w:rPr>
        <w:t xml:space="preserve"> </w:t>
      </w:r>
      <w:r>
        <w:t>internal</w:t>
      </w:r>
      <w:r>
        <w:rPr>
          <w:spacing w:val="-11"/>
        </w:rPr>
        <w:t xml:space="preserve"> </w:t>
      </w:r>
      <w:r>
        <w:t>Knowledge</w:t>
      </w:r>
      <w:r>
        <w:rPr>
          <w:spacing w:val="-12"/>
        </w:rPr>
        <w:t xml:space="preserve"> </w:t>
      </w:r>
      <w:r>
        <w:t>Management</w:t>
      </w:r>
      <w:r>
        <w:rPr>
          <w:spacing w:val="-11"/>
        </w:rPr>
        <w:t xml:space="preserve"> </w:t>
      </w:r>
      <w:r>
        <w:t>system,</w:t>
      </w:r>
      <w:r>
        <w:rPr>
          <w:spacing w:val="-13"/>
        </w:rPr>
        <w:t xml:space="preserve"> </w:t>
      </w:r>
      <w:r>
        <w:t>known</w:t>
      </w:r>
      <w:r>
        <w:rPr>
          <w:spacing w:val="-10"/>
        </w:rPr>
        <w:t xml:space="preserve"> </w:t>
      </w:r>
      <w:r>
        <w:t>as</w:t>
      </w:r>
      <w:r>
        <w:rPr>
          <w:spacing w:val="-10"/>
        </w:rPr>
        <w:t xml:space="preserve"> </w:t>
      </w:r>
      <w:r>
        <w:t>‘AME’,</w:t>
      </w:r>
      <w:r>
        <w:rPr>
          <w:spacing w:val="-8"/>
        </w:rPr>
        <w:t xml:space="preserve"> </w:t>
      </w:r>
      <w:r>
        <w:t>which</w:t>
      </w:r>
      <w:r>
        <w:rPr>
          <w:spacing w:val="-10"/>
        </w:rPr>
        <w:t xml:space="preserve"> </w:t>
      </w:r>
      <w:r>
        <w:t>holds</w:t>
      </w:r>
      <w:r>
        <w:rPr>
          <w:spacing w:val="-10"/>
        </w:rPr>
        <w:t xml:space="preserve"> </w:t>
      </w:r>
      <w:r>
        <w:t>and</w:t>
      </w:r>
      <w:r>
        <w:rPr>
          <w:spacing w:val="-10"/>
        </w:rPr>
        <w:t xml:space="preserve"> </w:t>
      </w:r>
      <w:r>
        <w:t xml:space="preserve">links to all scheme specific information </w:t>
      </w:r>
      <w:r w:rsidR="00FF58FD">
        <w:t xml:space="preserve">and </w:t>
      </w:r>
      <w:r>
        <w:t>processes via a page specific to each scheme. All requested updates are approved by the Client Directors who in turn review the pages annually to ensure consistency in the tasks their colleagues process.</w:t>
      </w:r>
    </w:p>
    <w:p w14:paraId="533F5E13" w14:textId="7745118C" w:rsidR="00AB3475" w:rsidRDefault="00A853B3">
      <w:pPr>
        <w:pStyle w:val="BodyText"/>
        <w:spacing w:before="251"/>
        <w:ind w:left="199" w:right="552"/>
        <w:jc w:val="both"/>
      </w:pPr>
      <w:r>
        <w:t>L&amp;G</w:t>
      </w:r>
      <w:r>
        <w:rPr>
          <w:spacing w:val="-16"/>
        </w:rPr>
        <w:t xml:space="preserve"> </w:t>
      </w:r>
      <w:r>
        <w:t>processed</w:t>
      </w:r>
      <w:r>
        <w:rPr>
          <w:spacing w:val="-15"/>
        </w:rPr>
        <w:t xml:space="preserve"> </w:t>
      </w:r>
      <w:r w:rsidR="00C64C9D">
        <w:t>all</w:t>
      </w:r>
      <w:r>
        <w:rPr>
          <w:spacing w:val="-16"/>
        </w:rPr>
        <w:t xml:space="preserve"> </w:t>
      </w:r>
      <w:r>
        <w:t>of</w:t>
      </w:r>
      <w:r>
        <w:rPr>
          <w:spacing w:val="-15"/>
        </w:rPr>
        <w:t xml:space="preserve"> </w:t>
      </w:r>
      <w:r w:rsidR="00C64C9D">
        <w:rPr>
          <w:spacing w:val="-15"/>
        </w:rPr>
        <w:t xml:space="preserve">the </w:t>
      </w:r>
      <w:r>
        <w:t>core</w:t>
      </w:r>
      <w:r>
        <w:rPr>
          <w:spacing w:val="-15"/>
        </w:rPr>
        <w:t xml:space="preserve"> </w:t>
      </w:r>
      <w:r>
        <w:t>financial</w:t>
      </w:r>
      <w:r>
        <w:rPr>
          <w:spacing w:val="-15"/>
        </w:rPr>
        <w:t xml:space="preserve"> </w:t>
      </w:r>
      <w:r>
        <w:t>transactions</w:t>
      </w:r>
      <w:r>
        <w:rPr>
          <w:spacing w:val="-16"/>
        </w:rPr>
        <w:t xml:space="preserve"> </w:t>
      </w:r>
      <w:r>
        <w:t>within</w:t>
      </w:r>
      <w:r>
        <w:rPr>
          <w:spacing w:val="-15"/>
        </w:rPr>
        <w:t xml:space="preserve"> </w:t>
      </w:r>
      <w:r>
        <w:t>the</w:t>
      </w:r>
      <w:r>
        <w:rPr>
          <w:spacing w:val="-15"/>
        </w:rPr>
        <w:t xml:space="preserve"> </w:t>
      </w:r>
      <w:r>
        <w:t>SLA</w:t>
      </w:r>
      <w:r>
        <w:rPr>
          <w:spacing w:val="-16"/>
        </w:rPr>
        <w:t xml:space="preserve"> </w:t>
      </w:r>
      <w:r w:rsidR="00513DE4">
        <w:t>since its appointment</w:t>
      </w:r>
      <w:r>
        <w:t xml:space="preserve">. </w:t>
      </w:r>
    </w:p>
    <w:p w14:paraId="533F5E14" w14:textId="77777777" w:rsidR="00AB3475" w:rsidRDefault="00AB3475">
      <w:pPr>
        <w:pStyle w:val="BodyText"/>
        <w:spacing w:before="1"/>
      </w:pPr>
    </w:p>
    <w:p w14:paraId="533F5E15" w14:textId="77777777" w:rsidR="00AB3475" w:rsidRDefault="00A853B3">
      <w:pPr>
        <w:pStyle w:val="BodyText"/>
        <w:ind w:left="199" w:right="555"/>
        <w:jc w:val="both"/>
      </w:pPr>
      <w:r>
        <w:t>The</w:t>
      </w:r>
      <w:r>
        <w:rPr>
          <w:spacing w:val="-7"/>
        </w:rPr>
        <w:t xml:space="preserve"> </w:t>
      </w:r>
      <w:r>
        <w:t>Trustee</w:t>
      </w:r>
      <w:r>
        <w:rPr>
          <w:spacing w:val="-4"/>
        </w:rPr>
        <w:t xml:space="preserve"> </w:t>
      </w:r>
      <w:r>
        <w:t>aims</w:t>
      </w:r>
      <w:r>
        <w:rPr>
          <w:spacing w:val="-6"/>
        </w:rPr>
        <w:t xml:space="preserve"> </w:t>
      </w:r>
      <w:r>
        <w:t>to</w:t>
      </w:r>
      <w:r>
        <w:rPr>
          <w:spacing w:val="-4"/>
        </w:rPr>
        <w:t xml:space="preserve"> </w:t>
      </w:r>
      <w:r>
        <w:t>have</w:t>
      </w:r>
      <w:r>
        <w:rPr>
          <w:spacing w:val="-4"/>
        </w:rPr>
        <w:t xml:space="preserve"> </w:t>
      </w:r>
      <w:r>
        <w:t>appropriate</w:t>
      </w:r>
      <w:r>
        <w:rPr>
          <w:spacing w:val="-4"/>
        </w:rPr>
        <w:t xml:space="preserve"> </w:t>
      </w:r>
      <w:r>
        <w:t>internal</w:t>
      </w:r>
      <w:r>
        <w:rPr>
          <w:spacing w:val="-7"/>
        </w:rPr>
        <w:t xml:space="preserve"> </w:t>
      </w:r>
      <w:r>
        <w:t>controls</w:t>
      </w:r>
      <w:r>
        <w:rPr>
          <w:spacing w:val="-4"/>
        </w:rPr>
        <w:t xml:space="preserve"> </w:t>
      </w:r>
      <w:r>
        <w:t>in</w:t>
      </w:r>
      <w:r>
        <w:rPr>
          <w:spacing w:val="-4"/>
        </w:rPr>
        <w:t xml:space="preserve"> </w:t>
      </w:r>
      <w:r>
        <w:t>place</w:t>
      </w:r>
      <w:r>
        <w:rPr>
          <w:spacing w:val="-7"/>
        </w:rPr>
        <w:t xml:space="preserve"> </w:t>
      </w:r>
      <w:r>
        <w:t>to</w:t>
      </w:r>
      <w:r>
        <w:rPr>
          <w:spacing w:val="-6"/>
        </w:rPr>
        <w:t xml:space="preserve"> </w:t>
      </w:r>
      <w:proofErr w:type="spellStart"/>
      <w:r>
        <w:t>minimise</w:t>
      </w:r>
      <w:proofErr w:type="spellEnd"/>
      <w:r>
        <w:rPr>
          <w:spacing w:val="-4"/>
        </w:rPr>
        <w:t xml:space="preserve"> </w:t>
      </w:r>
      <w:r>
        <w:t>the</w:t>
      </w:r>
      <w:r>
        <w:rPr>
          <w:spacing w:val="-7"/>
        </w:rPr>
        <w:t xml:space="preserve"> </w:t>
      </w:r>
      <w:r>
        <w:t>risk</w:t>
      </w:r>
      <w:r>
        <w:rPr>
          <w:spacing w:val="-1"/>
        </w:rPr>
        <w:t xml:space="preserve"> </w:t>
      </w:r>
      <w:r>
        <w:t>of inaccurate or late payment of core financial transactions. Key processes include:</w:t>
      </w:r>
    </w:p>
    <w:p w14:paraId="533F5E16" w14:textId="7B0F2284" w:rsidR="00AB3475" w:rsidRDefault="00A853B3" w:rsidP="00372A58">
      <w:pPr>
        <w:pStyle w:val="ListParagraph"/>
        <w:numPr>
          <w:ilvl w:val="2"/>
          <w:numId w:val="19"/>
        </w:numPr>
        <w:tabs>
          <w:tab w:val="left" w:pos="764"/>
          <w:tab w:val="left" w:pos="766"/>
        </w:tabs>
        <w:spacing w:before="252"/>
        <w:ind w:right="558" w:hanging="356"/>
        <w:jc w:val="both"/>
      </w:pPr>
      <w:r>
        <w:t xml:space="preserve">As well as processes described above, the </w:t>
      </w:r>
      <w:r w:rsidR="00B5403B">
        <w:t>Trustee</w:t>
      </w:r>
      <w:r>
        <w:t xml:space="preserve"> receives quarterly </w:t>
      </w:r>
      <w:r w:rsidR="00B5403B">
        <w:t>administration reports</w:t>
      </w:r>
      <w:r>
        <w:t xml:space="preserve"> on compliance with agreed standards and timescales to help it monitor that the SLAs of the </w:t>
      </w:r>
      <w:r w:rsidR="00DD778E">
        <w:t>Pension Fund Office</w:t>
      </w:r>
      <w:r>
        <w:t xml:space="preserve"> and L&amp;G are being met;</w:t>
      </w:r>
    </w:p>
    <w:p w14:paraId="533F5E19" w14:textId="6C4FBB84" w:rsidR="00AB3475" w:rsidRDefault="00A853B3" w:rsidP="00461009">
      <w:pPr>
        <w:pStyle w:val="ListParagraph"/>
        <w:numPr>
          <w:ilvl w:val="2"/>
          <w:numId w:val="19"/>
        </w:numPr>
        <w:tabs>
          <w:tab w:val="left" w:pos="764"/>
          <w:tab w:val="left" w:pos="766"/>
        </w:tabs>
        <w:spacing w:before="177" w:line="237" w:lineRule="auto"/>
        <w:ind w:right="560" w:hanging="356"/>
        <w:jc w:val="both"/>
      </w:pPr>
      <w:r>
        <w:t>L&amp;G attends</w:t>
      </w:r>
      <w:r w:rsidRPr="00344243">
        <w:rPr>
          <w:spacing w:val="-1"/>
        </w:rPr>
        <w:t xml:space="preserve"> </w:t>
      </w:r>
      <w:r>
        <w:t xml:space="preserve">at least one </w:t>
      </w:r>
      <w:r w:rsidR="00B5403B">
        <w:t>Investment Committee</w:t>
      </w:r>
      <w:r>
        <w:t xml:space="preserve"> meeting a</w:t>
      </w:r>
      <w:r w:rsidRPr="00344243">
        <w:rPr>
          <w:spacing w:val="-1"/>
        </w:rPr>
        <w:t xml:space="preserve"> </w:t>
      </w:r>
      <w:r>
        <w:t>year, and maintains regular communication with the Scheme Secretary;</w:t>
      </w:r>
    </w:p>
    <w:p w14:paraId="533F5E1E" w14:textId="4A68819E" w:rsidR="00AB3475" w:rsidRDefault="00A853B3">
      <w:pPr>
        <w:pStyle w:val="BodyText"/>
        <w:spacing w:before="252"/>
        <w:ind w:left="199"/>
        <w:jc w:val="both"/>
      </w:pPr>
      <w:r>
        <w:t>The</w:t>
      </w:r>
      <w:r>
        <w:rPr>
          <w:spacing w:val="-8"/>
        </w:rPr>
        <w:t xml:space="preserve"> </w:t>
      </w:r>
      <w:r>
        <w:t>Trustee</w:t>
      </w:r>
      <w:r>
        <w:rPr>
          <w:spacing w:val="-3"/>
        </w:rPr>
        <w:t xml:space="preserve"> </w:t>
      </w:r>
      <w:r>
        <w:t>is</w:t>
      </w:r>
      <w:r>
        <w:rPr>
          <w:spacing w:val="-4"/>
        </w:rPr>
        <w:t xml:space="preserve"> </w:t>
      </w:r>
      <w:r>
        <w:t>therefore</w:t>
      </w:r>
      <w:r>
        <w:rPr>
          <w:spacing w:val="-2"/>
        </w:rPr>
        <w:t xml:space="preserve"> </w:t>
      </w:r>
      <w:r>
        <w:t>satisfied</w:t>
      </w:r>
      <w:r>
        <w:rPr>
          <w:spacing w:val="-5"/>
        </w:rPr>
        <w:t xml:space="preserve"> </w:t>
      </w:r>
      <w:r>
        <w:t>that</w:t>
      </w:r>
      <w:r>
        <w:rPr>
          <w:spacing w:val="-4"/>
        </w:rPr>
        <w:t xml:space="preserve"> </w:t>
      </w:r>
      <w:r>
        <w:t>over</w:t>
      </w:r>
      <w:r>
        <w:rPr>
          <w:spacing w:val="-4"/>
        </w:rPr>
        <w:t xml:space="preserve"> </w:t>
      </w:r>
      <w:r>
        <w:t>the</w:t>
      </w:r>
      <w:r>
        <w:rPr>
          <w:spacing w:val="-2"/>
        </w:rPr>
        <w:t xml:space="preserve"> period</w:t>
      </w:r>
      <w:r w:rsidR="000D588E">
        <w:rPr>
          <w:spacing w:val="-2"/>
        </w:rPr>
        <w:t xml:space="preserve"> since appointment</w:t>
      </w:r>
      <w:r>
        <w:rPr>
          <w:spacing w:val="-2"/>
        </w:rPr>
        <w:t>:</w:t>
      </w:r>
    </w:p>
    <w:p w14:paraId="533F5E1F" w14:textId="77777777" w:rsidR="00AB3475" w:rsidRDefault="00AB3475">
      <w:pPr>
        <w:pStyle w:val="BodyText"/>
      </w:pPr>
    </w:p>
    <w:p w14:paraId="533F5E20" w14:textId="77777777" w:rsidR="00AB3475" w:rsidRDefault="00A853B3" w:rsidP="00372A58">
      <w:pPr>
        <w:pStyle w:val="ListParagraph"/>
        <w:numPr>
          <w:ilvl w:val="2"/>
          <w:numId w:val="19"/>
        </w:numPr>
        <w:tabs>
          <w:tab w:val="left" w:pos="764"/>
        </w:tabs>
        <w:ind w:left="764" w:hanging="354"/>
        <w:jc w:val="both"/>
      </w:pPr>
      <w:r>
        <w:t>L&amp;G</w:t>
      </w:r>
      <w:r>
        <w:rPr>
          <w:spacing w:val="-7"/>
        </w:rPr>
        <w:t xml:space="preserve"> </w:t>
      </w:r>
      <w:r>
        <w:t>was</w:t>
      </w:r>
      <w:r>
        <w:rPr>
          <w:spacing w:val="-5"/>
        </w:rPr>
        <w:t xml:space="preserve"> </w:t>
      </w:r>
      <w:r>
        <w:t>operating</w:t>
      </w:r>
      <w:r>
        <w:rPr>
          <w:spacing w:val="-6"/>
        </w:rPr>
        <w:t xml:space="preserve"> </w:t>
      </w:r>
      <w:r>
        <w:t>appropriate</w:t>
      </w:r>
      <w:r>
        <w:rPr>
          <w:spacing w:val="-6"/>
        </w:rPr>
        <w:t xml:space="preserve"> </w:t>
      </w:r>
      <w:r>
        <w:t>procedures,</w:t>
      </w:r>
      <w:r>
        <w:rPr>
          <w:spacing w:val="-7"/>
        </w:rPr>
        <w:t xml:space="preserve"> </w:t>
      </w:r>
      <w:r>
        <w:t>checks</w:t>
      </w:r>
      <w:r>
        <w:rPr>
          <w:spacing w:val="-8"/>
        </w:rPr>
        <w:t xml:space="preserve"> </w:t>
      </w:r>
      <w:r>
        <w:t>and</w:t>
      </w:r>
      <w:r>
        <w:rPr>
          <w:spacing w:val="-7"/>
        </w:rPr>
        <w:t xml:space="preserve"> </w:t>
      </w:r>
      <w:r>
        <w:rPr>
          <w:spacing w:val="-2"/>
        </w:rPr>
        <w:t>controls.</w:t>
      </w:r>
    </w:p>
    <w:p w14:paraId="533F5E21" w14:textId="77777777" w:rsidR="00AB3475" w:rsidRDefault="00A853B3" w:rsidP="00372A58">
      <w:pPr>
        <w:pStyle w:val="ListParagraph"/>
        <w:numPr>
          <w:ilvl w:val="2"/>
          <w:numId w:val="19"/>
        </w:numPr>
        <w:tabs>
          <w:tab w:val="left" w:pos="764"/>
          <w:tab w:val="left" w:pos="766"/>
        </w:tabs>
        <w:spacing w:before="122" w:line="237" w:lineRule="auto"/>
        <w:ind w:right="556" w:hanging="356"/>
        <w:jc w:val="both"/>
      </w:pPr>
      <w:r>
        <w:t>there have been no material administration errors in relation to processing core financial transactions; and</w:t>
      </w:r>
    </w:p>
    <w:p w14:paraId="533F5E22" w14:textId="62CAE746" w:rsidR="00AB3475" w:rsidRDefault="00A853B3" w:rsidP="00372A58">
      <w:pPr>
        <w:pStyle w:val="ListParagraph"/>
        <w:numPr>
          <w:ilvl w:val="2"/>
          <w:numId w:val="19"/>
        </w:numPr>
        <w:tabs>
          <w:tab w:val="left" w:pos="764"/>
          <w:tab w:val="left" w:pos="766"/>
        </w:tabs>
        <w:spacing w:before="123" w:line="237" w:lineRule="auto"/>
        <w:ind w:right="555" w:hanging="356"/>
        <w:jc w:val="both"/>
      </w:pPr>
      <w:r>
        <w:t>L&amp;G</w:t>
      </w:r>
      <w:r>
        <w:rPr>
          <w:spacing w:val="-8"/>
        </w:rPr>
        <w:t xml:space="preserve"> </w:t>
      </w:r>
      <w:r>
        <w:t>was</w:t>
      </w:r>
      <w:r>
        <w:rPr>
          <w:spacing w:val="-9"/>
        </w:rPr>
        <w:t xml:space="preserve"> </w:t>
      </w:r>
      <w:r>
        <w:t>operating</w:t>
      </w:r>
      <w:r>
        <w:rPr>
          <w:spacing w:val="-9"/>
        </w:rPr>
        <w:t xml:space="preserve"> </w:t>
      </w:r>
      <w:r>
        <w:t>within</w:t>
      </w:r>
      <w:r>
        <w:rPr>
          <w:spacing w:val="-9"/>
        </w:rPr>
        <w:t xml:space="preserve"> </w:t>
      </w:r>
      <w:r>
        <w:t>the</w:t>
      </w:r>
      <w:r>
        <w:rPr>
          <w:spacing w:val="-12"/>
        </w:rPr>
        <w:t xml:space="preserve"> </w:t>
      </w:r>
      <w:r>
        <w:t>agreed</w:t>
      </w:r>
      <w:r>
        <w:rPr>
          <w:spacing w:val="-12"/>
        </w:rPr>
        <w:t xml:space="preserve"> </w:t>
      </w:r>
      <w:r>
        <w:t>SLAs</w:t>
      </w:r>
      <w:r>
        <w:rPr>
          <w:spacing w:val="-11"/>
        </w:rPr>
        <w:t xml:space="preserve"> </w:t>
      </w:r>
      <w:r>
        <w:t>the</w:t>
      </w:r>
      <w:r>
        <w:rPr>
          <w:spacing w:val="-14"/>
        </w:rPr>
        <w:t xml:space="preserve"> </w:t>
      </w:r>
      <w:r>
        <w:t>majority</w:t>
      </w:r>
      <w:r>
        <w:rPr>
          <w:spacing w:val="-10"/>
        </w:rPr>
        <w:t xml:space="preserve"> </w:t>
      </w:r>
      <w:r>
        <w:t>of</w:t>
      </w:r>
      <w:r>
        <w:rPr>
          <w:spacing w:val="-10"/>
        </w:rPr>
        <w:t xml:space="preserve"> </w:t>
      </w:r>
      <w:r>
        <w:t>the</w:t>
      </w:r>
      <w:r>
        <w:rPr>
          <w:spacing w:val="-14"/>
        </w:rPr>
        <w:t xml:space="preserve"> </w:t>
      </w:r>
      <w:r>
        <w:t>time;</w:t>
      </w:r>
      <w:r>
        <w:rPr>
          <w:spacing w:val="-9"/>
        </w:rPr>
        <w:t xml:space="preserve"> </w:t>
      </w:r>
      <w:r>
        <w:t>and</w:t>
      </w:r>
      <w:r>
        <w:rPr>
          <w:spacing w:val="-11"/>
        </w:rPr>
        <w:t xml:space="preserve"> </w:t>
      </w:r>
      <w:r>
        <w:t>the</w:t>
      </w:r>
      <w:r>
        <w:rPr>
          <w:spacing w:val="-11"/>
        </w:rPr>
        <w:t xml:space="preserve"> </w:t>
      </w:r>
      <w:r>
        <w:t>majority</w:t>
      </w:r>
      <w:r>
        <w:rPr>
          <w:spacing w:val="-11"/>
        </w:rPr>
        <w:t xml:space="preserve"> </w:t>
      </w:r>
      <w:r>
        <w:t>of</w:t>
      </w:r>
      <w:r>
        <w:rPr>
          <w:spacing w:val="-8"/>
        </w:rPr>
        <w:t xml:space="preserve"> </w:t>
      </w:r>
      <w:r>
        <w:t xml:space="preserve">core financial transactions have been processed promptly and accurately </w:t>
      </w:r>
      <w:r w:rsidR="000D588E">
        <w:t>since appointment</w:t>
      </w:r>
      <w:r>
        <w:t>, with appropriate steps being taken to return to improve where this expectation has not been met.</w:t>
      </w:r>
    </w:p>
    <w:p w14:paraId="533F5E23" w14:textId="77777777" w:rsidR="00AB3475" w:rsidRDefault="00AB3475">
      <w:pPr>
        <w:pStyle w:val="BodyText"/>
        <w:spacing w:before="124"/>
      </w:pPr>
    </w:p>
    <w:p w14:paraId="533F5E24" w14:textId="0A70CF42" w:rsidR="00AB3475" w:rsidRDefault="00A853B3" w:rsidP="00372A58">
      <w:pPr>
        <w:pStyle w:val="Heading2"/>
        <w:numPr>
          <w:ilvl w:val="1"/>
          <w:numId w:val="19"/>
        </w:numPr>
        <w:tabs>
          <w:tab w:val="left" w:pos="627"/>
        </w:tabs>
        <w:ind w:left="627" w:hanging="428"/>
      </w:pPr>
      <w:r>
        <w:rPr>
          <w:spacing w:val="-2"/>
        </w:rPr>
        <w:t>AVCs</w:t>
      </w:r>
      <w:r>
        <w:rPr>
          <w:spacing w:val="-8"/>
        </w:rPr>
        <w:t xml:space="preserve"> </w:t>
      </w:r>
    </w:p>
    <w:p w14:paraId="533F5E45" w14:textId="0248C944" w:rsidR="00AB3475" w:rsidRDefault="00623A2F" w:rsidP="00DE0831">
      <w:pPr>
        <w:pStyle w:val="BodyText"/>
        <w:spacing w:before="242"/>
        <w:ind w:left="199" w:right="554"/>
        <w:jc w:val="both"/>
        <w:rPr>
          <w:spacing w:val="-11"/>
        </w:rPr>
      </w:pPr>
      <w:r>
        <w:t>The AVCs</w:t>
      </w:r>
      <w:r>
        <w:rPr>
          <w:spacing w:val="-11"/>
        </w:rPr>
        <w:t xml:space="preserve"> are processed in the same manner as the DC section, noting that no new contributions are payable</w:t>
      </w:r>
      <w:r w:rsidR="00DE0831">
        <w:rPr>
          <w:spacing w:val="-11"/>
        </w:rPr>
        <w:t xml:space="preserve">, </w:t>
      </w:r>
      <w:r w:rsidR="000D588E">
        <w:rPr>
          <w:spacing w:val="-11"/>
        </w:rPr>
        <w:t>and the relevant</w:t>
      </w:r>
      <w:r w:rsidR="00DE0831">
        <w:rPr>
          <w:spacing w:val="-11"/>
        </w:rPr>
        <w:t xml:space="preserve"> the findings in section 5.1 also apply. </w:t>
      </w:r>
    </w:p>
    <w:p w14:paraId="195F3BD6" w14:textId="77777777" w:rsidR="00DE0831" w:rsidRDefault="00DE0831" w:rsidP="00DE0831">
      <w:pPr>
        <w:pStyle w:val="BodyText"/>
        <w:spacing w:before="242"/>
        <w:ind w:left="199" w:right="554"/>
        <w:jc w:val="both"/>
      </w:pPr>
    </w:p>
    <w:p w14:paraId="533F5E55" w14:textId="77777777" w:rsidR="00AB3475" w:rsidRDefault="00A853B3" w:rsidP="00372A58">
      <w:pPr>
        <w:pStyle w:val="Heading2"/>
        <w:numPr>
          <w:ilvl w:val="0"/>
          <w:numId w:val="19"/>
        </w:numPr>
        <w:tabs>
          <w:tab w:val="left" w:pos="763"/>
        </w:tabs>
        <w:ind w:left="763" w:hanging="564"/>
        <w:jc w:val="both"/>
      </w:pPr>
      <w:r>
        <w:t>Value</w:t>
      </w:r>
      <w:r>
        <w:rPr>
          <w:spacing w:val="-5"/>
        </w:rPr>
        <w:t xml:space="preserve"> </w:t>
      </w:r>
      <w:r>
        <w:t>for</w:t>
      </w:r>
      <w:r>
        <w:rPr>
          <w:spacing w:val="-6"/>
        </w:rPr>
        <w:t xml:space="preserve"> </w:t>
      </w:r>
      <w:r>
        <w:t>Members</w:t>
      </w:r>
      <w:r>
        <w:rPr>
          <w:spacing w:val="-2"/>
        </w:rPr>
        <w:t xml:space="preserve"> Assessment</w:t>
      </w:r>
    </w:p>
    <w:p w14:paraId="533F5E56" w14:textId="77777777" w:rsidR="00AB3475" w:rsidRDefault="00A853B3">
      <w:pPr>
        <w:pStyle w:val="BodyText"/>
        <w:spacing w:before="122"/>
        <w:ind w:left="199" w:right="559"/>
        <w:jc w:val="both"/>
      </w:pPr>
      <w:r>
        <w:t>The Administration Regulations require the Trustee to make an assessment of charges and transaction costs</w:t>
      </w:r>
      <w:r>
        <w:rPr>
          <w:spacing w:val="-2"/>
        </w:rPr>
        <w:t xml:space="preserve"> </w:t>
      </w:r>
      <w:r>
        <w:t>borne</w:t>
      </w:r>
      <w:r>
        <w:rPr>
          <w:spacing w:val="-4"/>
        </w:rPr>
        <w:t xml:space="preserve"> </w:t>
      </w:r>
      <w:r>
        <w:t>by</w:t>
      </w:r>
      <w:r>
        <w:rPr>
          <w:spacing w:val="-2"/>
        </w:rPr>
        <w:t xml:space="preserve"> </w:t>
      </w:r>
      <w:r>
        <w:t>members and</w:t>
      </w:r>
      <w:r>
        <w:rPr>
          <w:spacing w:val="-2"/>
        </w:rPr>
        <w:t xml:space="preserve"> </w:t>
      </w:r>
      <w:r>
        <w:t>the</w:t>
      </w:r>
      <w:r>
        <w:rPr>
          <w:spacing w:val="-2"/>
        </w:rPr>
        <w:t xml:space="preserve"> </w:t>
      </w:r>
      <w:r>
        <w:t>extent to which those</w:t>
      </w:r>
      <w:r>
        <w:rPr>
          <w:spacing w:val="-2"/>
        </w:rPr>
        <w:t xml:space="preserve"> </w:t>
      </w:r>
      <w:r>
        <w:t>charges and costs</w:t>
      </w:r>
      <w:r>
        <w:rPr>
          <w:spacing w:val="-2"/>
        </w:rPr>
        <w:t xml:space="preserve"> </w:t>
      </w:r>
      <w:r>
        <w:t>represent good value for money for members.</w:t>
      </w:r>
    </w:p>
    <w:p w14:paraId="533F5E57" w14:textId="0D97DE5E" w:rsidR="00AB3475" w:rsidRDefault="00A853B3">
      <w:pPr>
        <w:pStyle w:val="BodyText"/>
        <w:spacing w:before="251"/>
        <w:ind w:left="199" w:right="552"/>
        <w:jc w:val="both"/>
      </w:pPr>
      <w:r>
        <w:t>There</w:t>
      </w:r>
      <w:r>
        <w:rPr>
          <w:spacing w:val="-10"/>
        </w:rPr>
        <w:t xml:space="preserve"> </w:t>
      </w:r>
      <w:r>
        <w:t>is</w:t>
      </w:r>
      <w:r>
        <w:rPr>
          <w:spacing w:val="-9"/>
        </w:rPr>
        <w:t xml:space="preserve"> </w:t>
      </w:r>
      <w:r>
        <w:t>currently</w:t>
      </w:r>
      <w:r>
        <w:rPr>
          <w:spacing w:val="-12"/>
        </w:rPr>
        <w:t xml:space="preserve"> </w:t>
      </w:r>
      <w:r>
        <w:t>no</w:t>
      </w:r>
      <w:r>
        <w:rPr>
          <w:spacing w:val="-11"/>
        </w:rPr>
        <w:t xml:space="preserve"> </w:t>
      </w:r>
      <w:r>
        <w:t>legal</w:t>
      </w:r>
      <w:r>
        <w:rPr>
          <w:spacing w:val="-11"/>
        </w:rPr>
        <w:t xml:space="preserve"> </w:t>
      </w:r>
      <w:r>
        <w:t>definition</w:t>
      </w:r>
      <w:r>
        <w:rPr>
          <w:spacing w:val="-11"/>
        </w:rPr>
        <w:t xml:space="preserve"> </w:t>
      </w:r>
      <w:r>
        <w:t>of</w:t>
      </w:r>
      <w:r>
        <w:rPr>
          <w:spacing w:val="-9"/>
        </w:rPr>
        <w:t xml:space="preserve"> </w:t>
      </w:r>
      <w:r>
        <w:t>"good</w:t>
      </w:r>
      <w:r>
        <w:rPr>
          <w:spacing w:val="-10"/>
        </w:rPr>
        <w:t xml:space="preserve"> </w:t>
      </w:r>
      <w:r>
        <w:t>value"</w:t>
      </w:r>
      <w:r>
        <w:rPr>
          <w:spacing w:val="-9"/>
        </w:rPr>
        <w:t xml:space="preserve"> </w:t>
      </w:r>
      <w:r>
        <w:t>or</w:t>
      </w:r>
      <w:r>
        <w:rPr>
          <w:spacing w:val="-12"/>
        </w:rPr>
        <w:t xml:space="preserve"> </w:t>
      </w:r>
      <w:r>
        <w:t>the</w:t>
      </w:r>
      <w:r>
        <w:rPr>
          <w:spacing w:val="-11"/>
        </w:rPr>
        <w:t xml:space="preserve"> </w:t>
      </w:r>
      <w:r>
        <w:t>process</w:t>
      </w:r>
      <w:r>
        <w:rPr>
          <w:spacing w:val="-10"/>
        </w:rPr>
        <w:t xml:space="preserve"> </w:t>
      </w:r>
      <w:r>
        <w:t>of</w:t>
      </w:r>
      <w:r>
        <w:rPr>
          <w:spacing w:val="-7"/>
        </w:rPr>
        <w:t xml:space="preserve"> </w:t>
      </w:r>
      <w:r>
        <w:t>determining</w:t>
      </w:r>
      <w:r>
        <w:rPr>
          <w:spacing w:val="-11"/>
        </w:rPr>
        <w:t xml:space="preserve"> </w:t>
      </w:r>
      <w:r>
        <w:t>this</w:t>
      </w:r>
      <w:r>
        <w:rPr>
          <w:spacing w:val="-12"/>
        </w:rPr>
        <w:t xml:space="preserve"> </w:t>
      </w:r>
      <w:r>
        <w:t>for</w:t>
      </w:r>
      <w:r>
        <w:rPr>
          <w:spacing w:val="-12"/>
        </w:rPr>
        <w:t xml:space="preserve"> </w:t>
      </w:r>
      <w:r>
        <w:t>scheme members.</w:t>
      </w:r>
      <w:r w:rsidR="009E257C">
        <w:t xml:space="preserve"> As part of the selection process for L&amp;G as provider for the Defined Contribution section, the Trustee considered a range of factors to assess the suitability of L&amp;G including its value. </w:t>
      </w:r>
      <w:r w:rsidR="00AA21CC">
        <w:t>T</w:t>
      </w:r>
      <w:r w:rsidR="003B29DD">
        <w:t>he Fund</w:t>
      </w:r>
      <w:r>
        <w:t xml:space="preserve"> is not subject to the more detailed value for members assessment requirements, the Trustee</w:t>
      </w:r>
      <w:r>
        <w:rPr>
          <w:spacing w:val="-8"/>
        </w:rPr>
        <w:t xml:space="preserve"> </w:t>
      </w:r>
      <w:r>
        <w:t>has</w:t>
      </w:r>
      <w:r>
        <w:rPr>
          <w:spacing w:val="-7"/>
        </w:rPr>
        <w:t xml:space="preserve"> </w:t>
      </w:r>
      <w:r>
        <w:t>taken</w:t>
      </w:r>
      <w:r>
        <w:rPr>
          <w:spacing w:val="-5"/>
        </w:rPr>
        <w:t xml:space="preserve"> </w:t>
      </w:r>
      <w:r>
        <w:t>account</w:t>
      </w:r>
      <w:r>
        <w:rPr>
          <w:spacing w:val="-4"/>
        </w:rPr>
        <w:t xml:space="preserve"> </w:t>
      </w:r>
      <w:r>
        <w:t>of</w:t>
      </w:r>
      <w:r>
        <w:rPr>
          <w:spacing w:val="-4"/>
        </w:rPr>
        <w:t xml:space="preserve"> </w:t>
      </w:r>
      <w:r>
        <w:t>the</w:t>
      </w:r>
      <w:r>
        <w:rPr>
          <w:spacing w:val="-5"/>
        </w:rPr>
        <w:t xml:space="preserve"> </w:t>
      </w:r>
      <w:r>
        <w:t>relevant</w:t>
      </w:r>
      <w:r>
        <w:rPr>
          <w:spacing w:val="-6"/>
        </w:rPr>
        <w:t xml:space="preserve"> </w:t>
      </w:r>
      <w:r>
        <w:t>guidance</w:t>
      </w:r>
      <w:r>
        <w:rPr>
          <w:spacing w:val="-5"/>
        </w:rPr>
        <w:t xml:space="preserve"> </w:t>
      </w:r>
      <w:r>
        <w:t>and</w:t>
      </w:r>
      <w:r>
        <w:rPr>
          <w:spacing w:val="-5"/>
        </w:rPr>
        <w:t xml:space="preserve"> </w:t>
      </w:r>
      <w:r>
        <w:t>the</w:t>
      </w:r>
      <w:r>
        <w:rPr>
          <w:spacing w:val="-5"/>
        </w:rPr>
        <w:t xml:space="preserve"> </w:t>
      </w:r>
      <w:r>
        <w:t>Pensions</w:t>
      </w:r>
      <w:r>
        <w:rPr>
          <w:spacing w:val="-5"/>
        </w:rPr>
        <w:t xml:space="preserve"> </w:t>
      </w:r>
      <w:r>
        <w:t>Regulator’s</w:t>
      </w:r>
      <w:r>
        <w:rPr>
          <w:spacing w:val="-6"/>
        </w:rPr>
        <w:t xml:space="preserve"> </w:t>
      </w:r>
      <w:r>
        <w:t>General</w:t>
      </w:r>
      <w:r>
        <w:rPr>
          <w:spacing w:val="-5"/>
        </w:rPr>
        <w:t xml:space="preserve"> </w:t>
      </w:r>
      <w:r>
        <w:t>Code of Practice when carrying out this assessment.</w:t>
      </w:r>
    </w:p>
    <w:p w14:paraId="533F5E58" w14:textId="77777777" w:rsidR="00AB3475" w:rsidRDefault="00A853B3" w:rsidP="00372A58">
      <w:pPr>
        <w:pStyle w:val="Heading2"/>
        <w:numPr>
          <w:ilvl w:val="1"/>
          <w:numId w:val="19"/>
        </w:numPr>
        <w:tabs>
          <w:tab w:val="left" w:pos="628"/>
        </w:tabs>
        <w:spacing w:before="252"/>
        <w:ind w:left="628" w:hanging="429"/>
        <w:jc w:val="both"/>
      </w:pPr>
      <w:r>
        <w:t>Costs</w:t>
      </w:r>
      <w:r>
        <w:rPr>
          <w:spacing w:val="-3"/>
        </w:rPr>
        <w:t xml:space="preserve"> </w:t>
      </w:r>
      <w:r>
        <w:t>and</w:t>
      </w:r>
      <w:r>
        <w:rPr>
          <w:spacing w:val="-3"/>
        </w:rPr>
        <w:t xml:space="preserve"> </w:t>
      </w:r>
      <w:r>
        <w:rPr>
          <w:spacing w:val="-2"/>
        </w:rPr>
        <w:t>charges</w:t>
      </w:r>
    </w:p>
    <w:p w14:paraId="533F5E59" w14:textId="77777777" w:rsidR="00AB3475" w:rsidRDefault="00AB3475">
      <w:pPr>
        <w:pStyle w:val="BodyText"/>
        <w:spacing w:before="1"/>
        <w:rPr>
          <w:b/>
        </w:rPr>
      </w:pPr>
    </w:p>
    <w:p w14:paraId="533F5E5A" w14:textId="18226F2B" w:rsidR="00AB3475" w:rsidRDefault="00A853B3">
      <w:pPr>
        <w:pStyle w:val="BodyText"/>
        <w:ind w:left="199" w:right="550"/>
        <w:jc w:val="both"/>
      </w:pPr>
      <w:r>
        <w:t xml:space="preserve">Members pay the administration and investment costs of their policy in the </w:t>
      </w:r>
      <w:r w:rsidR="00E27B3F">
        <w:t>Defined Contribution</w:t>
      </w:r>
      <w:r>
        <w:t xml:space="preserve"> section or the AVC arrangement.</w:t>
      </w:r>
    </w:p>
    <w:p w14:paraId="533F5E5B" w14:textId="77777777" w:rsidR="00AB3475" w:rsidRDefault="00AB3475">
      <w:pPr>
        <w:pStyle w:val="BodyText"/>
        <w:spacing w:before="1"/>
      </w:pPr>
    </w:p>
    <w:p w14:paraId="533F5E5F" w14:textId="1D06F0CE" w:rsidR="00AB3475" w:rsidRDefault="00E27B3F" w:rsidP="00C06FEE">
      <w:pPr>
        <w:pStyle w:val="BodyText"/>
        <w:ind w:left="199" w:right="552"/>
        <w:jc w:val="both"/>
      </w:pPr>
      <w:r>
        <w:rPr>
          <w:b/>
        </w:rPr>
        <w:t>Defined Contribution</w:t>
      </w:r>
      <w:r>
        <w:rPr>
          <w:b/>
          <w:spacing w:val="-8"/>
        </w:rPr>
        <w:t xml:space="preserve"> </w:t>
      </w:r>
      <w:r>
        <w:rPr>
          <w:b/>
        </w:rPr>
        <w:t>section</w:t>
      </w:r>
      <w:r>
        <w:rPr>
          <w:b/>
          <w:spacing w:val="40"/>
        </w:rPr>
        <w:t xml:space="preserve"> </w:t>
      </w:r>
      <w:r>
        <w:t>-</w:t>
      </w:r>
      <w:r>
        <w:rPr>
          <w:spacing w:val="-8"/>
        </w:rPr>
        <w:t xml:space="preserve"> </w:t>
      </w:r>
      <w:r>
        <w:t>the</w:t>
      </w:r>
      <w:r>
        <w:rPr>
          <w:spacing w:val="-9"/>
        </w:rPr>
        <w:t xml:space="preserve"> </w:t>
      </w:r>
      <w:r>
        <w:t>costs</w:t>
      </w:r>
      <w:r>
        <w:rPr>
          <w:spacing w:val="-8"/>
        </w:rPr>
        <w:t xml:space="preserve"> </w:t>
      </w:r>
      <w:r>
        <w:t>and</w:t>
      </w:r>
      <w:r>
        <w:rPr>
          <w:spacing w:val="-9"/>
        </w:rPr>
        <w:t xml:space="preserve"> </w:t>
      </w:r>
      <w:r>
        <w:t>charges</w:t>
      </w:r>
      <w:r>
        <w:rPr>
          <w:spacing w:val="-9"/>
        </w:rPr>
        <w:t xml:space="preserve"> </w:t>
      </w:r>
      <w:r>
        <w:t>have</w:t>
      </w:r>
      <w:r>
        <w:rPr>
          <w:spacing w:val="-6"/>
        </w:rPr>
        <w:t xml:space="preserve"> </w:t>
      </w:r>
      <w:r>
        <w:t>been</w:t>
      </w:r>
      <w:r>
        <w:rPr>
          <w:spacing w:val="-9"/>
        </w:rPr>
        <w:t xml:space="preserve"> </w:t>
      </w:r>
      <w:r>
        <w:t>identified</w:t>
      </w:r>
      <w:r>
        <w:rPr>
          <w:spacing w:val="-12"/>
        </w:rPr>
        <w:t xml:space="preserve"> </w:t>
      </w:r>
      <w:r>
        <w:t>as</w:t>
      </w:r>
      <w:r>
        <w:rPr>
          <w:spacing w:val="-9"/>
        </w:rPr>
        <w:t xml:space="preserve"> </w:t>
      </w:r>
      <w:r>
        <w:t>the</w:t>
      </w:r>
      <w:r>
        <w:rPr>
          <w:spacing w:val="-4"/>
        </w:rPr>
        <w:t xml:space="preserve"> </w:t>
      </w:r>
      <w:r>
        <w:t>AMC</w:t>
      </w:r>
      <w:r>
        <w:rPr>
          <w:spacing w:val="-7"/>
        </w:rPr>
        <w:t xml:space="preserve"> </w:t>
      </w:r>
      <w:r>
        <w:t>and</w:t>
      </w:r>
      <w:r>
        <w:rPr>
          <w:spacing w:val="-6"/>
        </w:rPr>
        <w:t xml:space="preserve"> </w:t>
      </w:r>
      <w:r>
        <w:t xml:space="preserve">FMC which make up the TER and transaction costs, as set out in section </w:t>
      </w:r>
      <w:r w:rsidR="00AD60EC">
        <w:t>4</w:t>
      </w:r>
      <w:r>
        <w:t xml:space="preserve"> of this statement.</w:t>
      </w:r>
      <w:r>
        <w:rPr>
          <w:spacing w:val="40"/>
        </w:rPr>
        <w:t xml:space="preserve"> </w:t>
      </w:r>
      <w:r>
        <w:t xml:space="preserve">The Trustee’s assessment </w:t>
      </w:r>
      <w:r w:rsidR="00F5234C">
        <w:t>when selecting L&amp;G concluded that all short-listed providers were significantly cheaper t</w:t>
      </w:r>
      <w:r w:rsidR="0071501B">
        <w:t xml:space="preserve">han the previous default arrangement and L&amp;G (and one other provider) were the cheapest. </w:t>
      </w:r>
      <w:r>
        <w:t xml:space="preserve">Although no benchmarking information is available for transaction costs, those reported for </w:t>
      </w:r>
      <w:r w:rsidR="00854B1C">
        <w:t>the Defined</w:t>
      </w:r>
      <w:r>
        <w:t xml:space="preserve"> Contribution</w:t>
      </w:r>
      <w:r>
        <w:rPr>
          <w:spacing w:val="-14"/>
        </w:rPr>
        <w:t xml:space="preserve"> </w:t>
      </w:r>
      <w:r>
        <w:t>section</w:t>
      </w:r>
      <w:r>
        <w:rPr>
          <w:spacing w:val="-12"/>
        </w:rPr>
        <w:t xml:space="preserve"> </w:t>
      </w:r>
      <w:r>
        <w:t>over</w:t>
      </w:r>
      <w:r>
        <w:rPr>
          <w:spacing w:val="-11"/>
        </w:rPr>
        <w:t xml:space="preserve"> </w:t>
      </w:r>
      <w:r w:rsidR="003B29DD">
        <w:t xml:space="preserve">the </w:t>
      </w:r>
      <w:r w:rsidR="0071501B">
        <w:t>period</w:t>
      </w:r>
      <w:r>
        <w:rPr>
          <w:spacing w:val="-15"/>
        </w:rPr>
        <w:t xml:space="preserve"> </w:t>
      </w:r>
      <w:r>
        <w:t>appear</w:t>
      </w:r>
      <w:r>
        <w:rPr>
          <w:spacing w:val="-14"/>
        </w:rPr>
        <w:t xml:space="preserve"> </w:t>
      </w:r>
      <w:r>
        <w:t>reasonable</w:t>
      </w:r>
      <w:r>
        <w:rPr>
          <w:spacing w:val="-12"/>
        </w:rPr>
        <w:t xml:space="preserve"> </w:t>
      </w:r>
      <w:r>
        <w:t>compared</w:t>
      </w:r>
      <w:r>
        <w:rPr>
          <w:spacing w:val="-15"/>
        </w:rPr>
        <w:t xml:space="preserve"> </w:t>
      </w:r>
      <w:r>
        <w:t>to</w:t>
      </w:r>
      <w:r>
        <w:rPr>
          <w:spacing w:val="-12"/>
        </w:rPr>
        <w:t xml:space="preserve"> </w:t>
      </w:r>
      <w:r>
        <w:t>costs</w:t>
      </w:r>
      <w:r>
        <w:rPr>
          <w:spacing w:val="-14"/>
        </w:rPr>
        <w:t xml:space="preserve"> </w:t>
      </w:r>
      <w:r>
        <w:t>we</w:t>
      </w:r>
      <w:r>
        <w:rPr>
          <w:spacing w:val="-12"/>
        </w:rPr>
        <w:t xml:space="preserve"> </w:t>
      </w:r>
      <w:r>
        <w:t>have seen reported for similar funds.</w:t>
      </w:r>
      <w:r>
        <w:rPr>
          <w:spacing w:val="40"/>
        </w:rPr>
        <w:t xml:space="preserve"> </w:t>
      </w:r>
      <w:r>
        <w:t xml:space="preserve">L&amp;G typically uses cash flows to manage and </w:t>
      </w:r>
      <w:proofErr w:type="spellStart"/>
      <w:r>
        <w:t>minimise</w:t>
      </w:r>
      <w:proofErr w:type="spellEnd"/>
      <w:r>
        <w:t xml:space="preserve"> transaction</w:t>
      </w:r>
      <w:r>
        <w:rPr>
          <w:spacing w:val="40"/>
        </w:rPr>
        <w:t xml:space="preserve"> </w:t>
      </w:r>
      <w:r w:rsidRPr="00490311">
        <w:t>costs</w:t>
      </w:r>
      <w:r w:rsidRPr="00490311">
        <w:rPr>
          <w:spacing w:val="40"/>
        </w:rPr>
        <w:t xml:space="preserve"> </w:t>
      </w:r>
      <w:r w:rsidRPr="00490311">
        <w:t>and</w:t>
      </w:r>
      <w:r w:rsidRPr="00490311">
        <w:rPr>
          <w:spacing w:val="40"/>
        </w:rPr>
        <w:t xml:space="preserve"> </w:t>
      </w:r>
      <w:r w:rsidRPr="00490311">
        <w:t>the</w:t>
      </w:r>
      <w:r w:rsidRPr="00490311">
        <w:rPr>
          <w:spacing w:val="40"/>
        </w:rPr>
        <w:t xml:space="preserve"> </w:t>
      </w:r>
      <w:r w:rsidRPr="00490311">
        <w:t>majority</w:t>
      </w:r>
      <w:r w:rsidRPr="00490311">
        <w:rPr>
          <w:spacing w:val="40"/>
        </w:rPr>
        <w:t xml:space="preserve"> </w:t>
      </w:r>
      <w:r w:rsidRPr="00490311">
        <w:t>of</w:t>
      </w:r>
      <w:r w:rsidRPr="00490311">
        <w:rPr>
          <w:spacing w:val="40"/>
        </w:rPr>
        <w:t xml:space="preserve"> </w:t>
      </w:r>
      <w:r w:rsidRPr="00490311">
        <w:t>investments</w:t>
      </w:r>
      <w:r w:rsidRPr="00490311">
        <w:rPr>
          <w:spacing w:val="40"/>
        </w:rPr>
        <w:t xml:space="preserve"> </w:t>
      </w:r>
      <w:r w:rsidRPr="00490311">
        <w:t>in</w:t>
      </w:r>
      <w:r w:rsidRPr="00490311">
        <w:rPr>
          <w:spacing w:val="40"/>
        </w:rPr>
        <w:t xml:space="preserve"> </w:t>
      </w:r>
      <w:r w:rsidRPr="00490311">
        <w:t>the</w:t>
      </w:r>
      <w:r w:rsidRPr="00490311">
        <w:rPr>
          <w:spacing w:val="40"/>
        </w:rPr>
        <w:t xml:space="preserve"> </w:t>
      </w:r>
      <w:r w:rsidRPr="00490311">
        <w:t>Defined Contribution</w:t>
      </w:r>
      <w:r w:rsidRPr="00490311">
        <w:rPr>
          <w:spacing w:val="40"/>
        </w:rPr>
        <w:t xml:space="preserve"> </w:t>
      </w:r>
      <w:r w:rsidRPr="00490311">
        <w:t>section</w:t>
      </w:r>
      <w:r w:rsidRPr="00490311">
        <w:rPr>
          <w:spacing w:val="40"/>
        </w:rPr>
        <w:t xml:space="preserve"> </w:t>
      </w:r>
      <w:r w:rsidRPr="00490311">
        <w:t xml:space="preserve">are </w:t>
      </w:r>
      <w:r w:rsidR="00490311" w:rsidRPr="00490311">
        <w:t xml:space="preserve">in the default Target Date Funds, using </w:t>
      </w:r>
      <w:r w:rsidRPr="00490311">
        <w:t>index-tracking</w:t>
      </w:r>
      <w:r w:rsidRPr="00490311">
        <w:rPr>
          <w:spacing w:val="-12"/>
        </w:rPr>
        <w:t xml:space="preserve"> </w:t>
      </w:r>
      <w:r w:rsidRPr="00490311">
        <w:t>funds</w:t>
      </w:r>
      <w:r w:rsidRPr="00490311">
        <w:rPr>
          <w:spacing w:val="-11"/>
        </w:rPr>
        <w:t xml:space="preserve"> </w:t>
      </w:r>
      <w:r w:rsidRPr="00490311">
        <w:t>which</w:t>
      </w:r>
      <w:r w:rsidRPr="00490311">
        <w:rPr>
          <w:spacing w:val="-8"/>
        </w:rPr>
        <w:t xml:space="preserve"> </w:t>
      </w:r>
      <w:r w:rsidRPr="00490311">
        <w:t>have</w:t>
      </w:r>
      <w:r w:rsidRPr="00490311">
        <w:rPr>
          <w:spacing w:val="-9"/>
        </w:rPr>
        <w:t xml:space="preserve"> </w:t>
      </w:r>
      <w:r w:rsidRPr="00490311">
        <w:t>lower</w:t>
      </w:r>
      <w:r w:rsidRPr="00490311">
        <w:rPr>
          <w:spacing w:val="-10"/>
        </w:rPr>
        <w:t xml:space="preserve"> </w:t>
      </w:r>
      <w:r w:rsidRPr="00490311">
        <w:t>transaction</w:t>
      </w:r>
      <w:r w:rsidRPr="00490311">
        <w:rPr>
          <w:spacing w:val="-14"/>
        </w:rPr>
        <w:t xml:space="preserve"> </w:t>
      </w:r>
      <w:r w:rsidRPr="00490311">
        <w:t>costs</w:t>
      </w:r>
      <w:r w:rsidRPr="00490311">
        <w:rPr>
          <w:spacing w:val="-13"/>
        </w:rPr>
        <w:t xml:space="preserve"> </w:t>
      </w:r>
      <w:r w:rsidRPr="00490311">
        <w:t>than</w:t>
      </w:r>
      <w:r w:rsidRPr="00490311">
        <w:rPr>
          <w:spacing w:val="-11"/>
        </w:rPr>
        <w:t xml:space="preserve"> </w:t>
      </w:r>
      <w:r w:rsidRPr="00490311">
        <w:t>more</w:t>
      </w:r>
      <w:r w:rsidRPr="00490311">
        <w:rPr>
          <w:spacing w:val="-11"/>
        </w:rPr>
        <w:t xml:space="preserve"> </w:t>
      </w:r>
      <w:r w:rsidRPr="00490311">
        <w:t>actively</w:t>
      </w:r>
      <w:r w:rsidRPr="00490311">
        <w:rPr>
          <w:spacing w:val="-11"/>
        </w:rPr>
        <w:t xml:space="preserve"> </w:t>
      </w:r>
      <w:r w:rsidRPr="00490311">
        <w:t>managed</w:t>
      </w:r>
      <w:r w:rsidRPr="00490311">
        <w:rPr>
          <w:spacing w:val="-14"/>
        </w:rPr>
        <w:t xml:space="preserve"> </w:t>
      </w:r>
      <w:r w:rsidRPr="00490311">
        <w:t>funds</w:t>
      </w:r>
      <w:r w:rsidR="00FB017F" w:rsidRPr="00490311">
        <w:t xml:space="preserve">. </w:t>
      </w:r>
      <w:r w:rsidRPr="00490311">
        <w:t>The Trustee</w:t>
      </w:r>
      <w:r>
        <w:t xml:space="preserve"> has </w:t>
      </w:r>
      <w:r w:rsidR="00C06FEE">
        <w:t xml:space="preserve">arranged for </w:t>
      </w:r>
      <w:r>
        <w:t>AVC member</w:t>
      </w:r>
      <w:r w:rsidR="000F09DC">
        <w:t xml:space="preserve">s’ funds to be transferred to the same arrangement and on the same terms as </w:t>
      </w:r>
      <w:r>
        <w:t xml:space="preserve">the Defined Contribution section </w:t>
      </w:r>
      <w:r w:rsidR="000F09DC">
        <w:t xml:space="preserve">members so as </w:t>
      </w:r>
      <w:r>
        <w:t>to take advantage of the lower costs and charges (and other benefits) it provides.</w:t>
      </w:r>
    </w:p>
    <w:p w14:paraId="533F5E60" w14:textId="77777777" w:rsidR="00AB3475" w:rsidRDefault="00AB3475">
      <w:pPr>
        <w:pStyle w:val="BodyText"/>
        <w:spacing w:before="1"/>
      </w:pPr>
    </w:p>
    <w:p w14:paraId="533F5E61" w14:textId="4B15DE0C" w:rsidR="00AB3475" w:rsidRDefault="00A853B3">
      <w:pPr>
        <w:pStyle w:val="BodyText"/>
        <w:spacing w:before="1"/>
        <w:ind w:left="199" w:right="552"/>
        <w:jc w:val="both"/>
      </w:pPr>
      <w:r>
        <w:t>The Trustee has considered the benefits of membership under the following categories: governance,</w:t>
      </w:r>
      <w:r>
        <w:rPr>
          <w:spacing w:val="-10"/>
        </w:rPr>
        <w:t xml:space="preserve"> </w:t>
      </w:r>
      <w:r>
        <w:t>investments,</w:t>
      </w:r>
      <w:r>
        <w:rPr>
          <w:spacing w:val="-8"/>
        </w:rPr>
        <w:t xml:space="preserve"> </w:t>
      </w:r>
      <w:r w:rsidR="00806778">
        <w:rPr>
          <w:spacing w:val="-8"/>
        </w:rPr>
        <w:t>and non-investment criteria (</w:t>
      </w:r>
      <w:r w:rsidR="00DF5E5A">
        <w:rPr>
          <w:spacing w:val="-8"/>
        </w:rPr>
        <w:t xml:space="preserve">provider profile, communication, </w:t>
      </w:r>
      <w:r>
        <w:t>administration</w:t>
      </w:r>
      <w:r w:rsidR="003C3033">
        <w:t>, provider governance, at-retirement support and wider reward</w:t>
      </w:r>
      <w:r w:rsidR="00E277CA">
        <w:t xml:space="preserve">). These factors contribute to </w:t>
      </w:r>
      <w:r w:rsidR="004E11CA">
        <w:t>the assessment</w:t>
      </w:r>
      <w:r>
        <w:rPr>
          <w:spacing w:val="40"/>
        </w:rPr>
        <w:t xml:space="preserve"> </w:t>
      </w:r>
      <w:r>
        <w:t>when considering</w:t>
      </w:r>
      <w:r>
        <w:rPr>
          <w:spacing w:val="-5"/>
        </w:rPr>
        <w:t xml:space="preserve"> </w:t>
      </w:r>
      <w:r>
        <w:t>overall</w:t>
      </w:r>
      <w:r>
        <w:rPr>
          <w:spacing w:val="-8"/>
        </w:rPr>
        <w:t xml:space="preserve"> </w:t>
      </w:r>
      <w:r>
        <w:t>value</w:t>
      </w:r>
      <w:r>
        <w:rPr>
          <w:spacing w:val="-10"/>
        </w:rPr>
        <w:t xml:space="preserve"> </w:t>
      </w:r>
      <w:r>
        <w:t>for</w:t>
      </w:r>
      <w:r>
        <w:rPr>
          <w:spacing w:val="-9"/>
        </w:rPr>
        <w:t xml:space="preserve"> </w:t>
      </w:r>
      <w:r>
        <w:t>members.</w:t>
      </w:r>
      <w:r>
        <w:rPr>
          <w:spacing w:val="40"/>
        </w:rPr>
        <w:t xml:space="preserve"> </w:t>
      </w:r>
    </w:p>
    <w:p w14:paraId="533F5E63" w14:textId="67993FA5" w:rsidR="00AB3475" w:rsidRDefault="00A853B3">
      <w:pPr>
        <w:pStyle w:val="BodyText"/>
        <w:spacing w:before="240"/>
        <w:ind w:left="199"/>
        <w:jc w:val="both"/>
      </w:pPr>
      <w:r>
        <w:t>A</w:t>
      </w:r>
      <w:r>
        <w:rPr>
          <w:spacing w:val="-5"/>
        </w:rPr>
        <w:t xml:space="preserve"> </w:t>
      </w:r>
      <w:r>
        <w:t>summary</w:t>
      </w:r>
      <w:r>
        <w:rPr>
          <w:spacing w:val="-4"/>
        </w:rPr>
        <w:t xml:space="preserve"> </w:t>
      </w:r>
      <w:r>
        <w:t>of</w:t>
      </w:r>
      <w:r>
        <w:rPr>
          <w:spacing w:val="-4"/>
        </w:rPr>
        <w:t xml:space="preserve"> </w:t>
      </w:r>
      <w:r>
        <w:t>the</w:t>
      </w:r>
      <w:r>
        <w:rPr>
          <w:spacing w:val="-3"/>
        </w:rPr>
        <w:t xml:space="preserve"> </w:t>
      </w:r>
      <w:r>
        <w:t>assessment</w:t>
      </w:r>
      <w:r>
        <w:rPr>
          <w:spacing w:val="-6"/>
        </w:rPr>
        <w:t xml:space="preserve"> </w:t>
      </w:r>
      <w:r>
        <w:t>for</w:t>
      </w:r>
      <w:r>
        <w:rPr>
          <w:spacing w:val="-1"/>
        </w:rPr>
        <w:t xml:space="preserve"> </w:t>
      </w:r>
      <w:r w:rsidR="00253618">
        <w:t>both the DC section and AVCs</w:t>
      </w:r>
      <w:r>
        <w:rPr>
          <w:spacing w:val="1"/>
        </w:rPr>
        <w:t xml:space="preserve"> </w:t>
      </w:r>
      <w:r>
        <w:t>benefit is</w:t>
      </w:r>
      <w:r>
        <w:rPr>
          <w:spacing w:val="-5"/>
        </w:rPr>
        <w:t xml:space="preserve"> </w:t>
      </w:r>
      <w:r>
        <w:t>set</w:t>
      </w:r>
      <w:r>
        <w:rPr>
          <w:spacing w:val="-4"/>
        </w:rPr>
        <w:t xml:space="preserve"> </w:t>
      </w:r>
      <w:r>
        <w:t>out</w:t>
      </w:r>
      <w:r>
        <w:rPr>
          <w:spacing w:val="-3"/>
        </w:rPr>
        <w:t xml:space="preserve"> </w:t>
      </w:r>
      <w:r>
        <w:rPr>
          <w:spacing w:val="-2"/>
        </w:rPr>
        <w:t>below.</w:t>
      </w:r>
    </w:p>
    <w:p w14:paraId="533F5E64" w14:textId="77777777" w:rsidR="00AB3475" w:rsidRDefault="00AB3475">
      <w:pPr>
        <w:pStyle w:val="BodyText"/>
      </w:pPr>
    </w:p>
    <w:p w14:paraId="533F5E65" w14:textId="77777777" w:rsidR="00AB3475" w:rsidRDefault="00A853B3" w:rsidP="00372A58">
      <w:pPr>
        <w:pStyle w:val="Heading2"/>
        <w:numPr>
          <w:ilvl w:val="1"/>
          <w:numId w:val="19"/>
        </w:numPr>
        <w:tabs>
          <w:tab w:val="left" w:pos="622"/>
        </w:tabs>
        <w:ind w:left="622" w:hanging="423"/>
      </w:pPr>
      <w:r>
        <w:rPr>
          <w:spacing w:val="-2"/>
        </w:rPr>
        <w:t>Governance</w:t>
      </w:r>
    </w:p>
    <w:p w14:paraId="533F5E66" w14:textId="77777777" w:rsidR="00AB3475" w:rsidRDefault="00A853B3">
      <w:pPr>
        <w:pStyle w:val="BodyText"/>
        <w:spacing w:before="239"/>
        <w:ind w:left="199" w:right="554"/>
        <w:jc w:val="both"/>
      </w:pPr>
      <w:r>
        <w:t>The Trustee believes that having robust processes and structures in place to support effective management</w:t>
      </w:r>
      <w:r>
        <w:rPr>
          <w:spacing w:val="-6"/>
        </w:rPr>
        <w:t xml:space="preserve"> </w:t>
      </w:r>
      <w:r>
        <w:t>of</w:t>
      </w:r>
      <w:r>
        <w:rPr>
          <w:spacing w:val="-6"/>
        </w:rPr>
        <w:t xml:space="preserve"> </w:t>
      </w:r>
      <w:r>
        <w:t>risks</w:t>
      </w:r>
      <w:r>
        <w:rPr>
          <w:spacing w:val="-7"/>
        </w:rPr>
        <w:t xml:space="preserve"> </w:t>
      </w:r>
      <w:r>
        <w:t>and</w:t>
      </w:r>
      <w:r>
        <w:rPr>
          <w:spacing w:val="-5"/>
        </w:rPr>
        <w:t xml:space="preserve"> </w:t>
      </w:r>
      <w:r>
        <w:t>ensure</w:t>
      </w:r>
      <w:r>
        <w:rPr>
          <w:spacing w:val="-7"/>
        </w:rPr>
        <w:t xml:space="preserve"> </w:t>
      </w:r>
      <w:r>
        <w:t>members</w:t>
      </w:r>
      <w:r>
        <w:rPr>
          <w:spacing w:val="-7"/>
        </w:rPr>
        <w:t xml:space="preserve"> </w:t>
      </w:r>
      <w:r>
        <w:t>interests</w:t>
      </w:r>
      <w:r>
        <w:rPr>
          <w:spacing w:val="-7"/>
        </w:rPr>
        <w:t xml:space="preserve"> </w:t>
      </w:r>
      <w:r>
        <w:t>are</w:t>
      </w:r>
      <w:r>
        <w:rPr>
          <w:spacing w:val="-7"/>
        </w:rPr>
        <w:t xml:space="preserve"> </w:t>
      </w:r>
      <w:r>
        <w:t>protected</w:t>
      </w:r>
      <w:r>
        <w:rPr>
          <w:spacing w:val="-4"/>
        </w:rPr>
        <w:t xml:space="preserve"> </w:t>
      </w:r>
      <w:r>
        <w:t>should</w:t>
      </w:r>
      <w:r>
        <w:rPr>
          <w:spacing w:val="-7"/>
        </w:rPr>
        <w:t xml:space="preserve"> </w:t>
      </w:r>
      <w:r>
        <w:t>increase</w:t>
      </w:r>
      <w:r>
        <w:rPr>
          <w:spacing w:val="-8"/>
        </w:rPr>
        <w:t xml:space="preserve"> </w:t>
      </w:r>
      <w:r>
        <w:t>the</w:t>
      </w:r>
      <w:r>
        <w:rPr>
          <w:spacing w:val="-7"/>
        </w:rPr>
        <w:t xml:space="preserve"> </w:t>
      </w:r>
      <w:r>
        <w:t>likelihood of good outcomes for members.</w:t>
      </w:r>
    </w:p>
    <w:p w14:paraId="533F5E69" w14:textId="77777777" w:rsidR="00AB3475" w:rsidRDefault="00A853B3" w:rsidP="004E11CA">
      <w:pPr>
        <w:pStyle w:val="BodyText"/>
        <w:spacing w:before="252"/>
        <w:ind w:firstLine="199"/>
        <w:jc w:val="both"/>
      </w:pPr>
      <w:r>
        <w:t>The</w:t>
      </w:r>
      <w:r>
        <w:rPr>
          <w:spacing w:val="-11"/>
        </w:rPr>
        <w:t xml:space="preserve"> </w:t>
      </w:r>
      <w:r>
        <w:t>Trustee</w:t>
      </w:r>
      <w:r>
        <w:rPr>
          <w:spacing w:val="-3"/>
        </w:rPr>
        <w:t xml:space="preserve"> </w:t>
      </w:r>
      <w:r>
        <w:t>has</w:t>
      </w:r>
      <w:r>
        <w:rPr>
          <w:spacing w:val="-6"/>
        </w:rPr>
        <w:t xml:space="preserve"> </w:t>
      </w:r>
      <w:r>
        <w:t>a</w:t>
      </w:r>
      <w:r>
        <w:rPr>
          <w:spacing w:val="-5"/>
        </w:rPr>
        <w:t xml:space="preserve"> </w:t>
      </w:r>
      <w:r>
        <w:t>business</w:t>
      </w:r>
      <w:r>
        <w:rPr>
          <w:spacing w:val="-3"/>
        </w:rPr>
        <w:t xml:space="preserve"> </w:t>
      </w:r>
      <w:r>
        <w:t>plan</w:t>
      </w:r>
      <w:r>
        <w:rPr>
          <w:spacing w:val="-4"/>
        </w:rPr>
        <w:t xml:space="preserve"> </w:t>
      </w:r>
      <w:r>
        <w:t>which</w:t>
      </w:r>
      <w:r>
        <w:rPr>
          <w:spacing w:val="-3"/>
        </w:rPr>
        <w:t xml:space="preserve"> </w:t>
      </w:r>
      <w:r>
        <w:t>is</w:t>
      </w:r>
      <w:r>
        <w:rPr>
          <w:spacing w:val="-4"/>
        </w:rPr>
        <w:t xml:space="preserve"> </w:t>
      </w:r>
      <w:r>
        <w:t>reviewed</w:t>
      </w:r>
      <w:r>
        <w:rPr>
          <w:spacing w:val="-3"/>
        </w:rPr>
        <w:t xml:space="preserve"> </w:t>
      </w:r>
      <w:r>
        <w:rPr>
          <w:spacing w:val="-2"/>
        </w:rPr>
        <w:t>regularly.</w:t>
      </w:r>
    </w:p>
    <w:p w14:paraId="533F5E6A" w14:textId="77777777" w:rsidR="00AB3475" w:rsidRDefault="00AB3475">
      <w:pPr>
        <w:pStyle w:val="BodyText"/>
      </w:pPr>
    </w:p>
    <w:p w14:paraId="533F5E6B" w14:textId="35D2C456" w:rsidR="00AB3475" w:rsidRDefault="00A853B3">
      <w:pPr>
        <w:pStyle w:val="BodyText"/>
        <w:ind w:left="199" w:right="554"/>
        <w:jc w:val="both"/>
      </w:pPr>
      <w:r>
        <w:t xml:space="preserve">DC issues are included in </w:t>
      </w:r>
      <w:r w:rsidR="003B29DD">
        <w:t>the Fund</w:t>
      </w:r>
      <w:r>
        <w:t xml:space="preserve">'s risk register, which is also reviewed regularly, and the Trustee and </w:t>
      </w:r>
      <w:r w:rsidR="004E11CA">
        <w:t>the Investment Committee</w:t>
      </w:r>
      <w:r>
        <w:t xml:space="preserve"> take professional advice in respect of actuarial, legal and investment matters (the costs of which are not passed onto members).</w:t>
      </w:r>
    </w:p>
    <w:p w14:paraId="533F5E6C" w14:textId="77777777" w:rsidR="00AB3475" w:rsidRDefault="00AB3475">
      <w:pPr>
        <w:pStyle w:val="BodyText"/>
        <w:spacing w:before="1"/>
      </w:pPr>
    </w:p>
    <w:p w14:paraId="533F5E6D" w14:textId="5889E581" w:rsidR="00AB3475" w:rsidRDefault="00A853B3">
      <w:pPr>
        <w:pStyle w:val="BodyText"/>
        <w:ind w:left="199" w:right="553"/>
        <w:jc w:val="both"/>
      </w:pPr>
      <w:r>
        <w:t xml:space="preserve">The Trustee has a service level agreement (“SLA”) in place with the </w:t>
      </w:r>
      <w:r w:rsidR="00DD778E">
        <w:t>Pension Fund Office</w:t>
      </w:r>
      <w:r>
        <w:t xml:space="preserve"> and L&amp;G and receives quarterly reporting on this.</w:t>
      </w:r>
      <w:r>
        <w:rPr>
          <w:spacing w:val="40"/>
        </w:rPr>
        <w:t xml:space="preserve"> </w:t>
      </w:r>
      <w:r>
        <w:t xml:space="preserve">The Trustee also has appropriate internal controls in place to </w:t>
      </w:r>
      <w:proofErr w:type="spellStart"/>
      <w:r>
        <w:t>minimise</w:t>
      </w:r>
      <w:proofErr w:type="spellEnd"/>
      <w:r>
        <w:t xml:space="preserve"> the risk of inaccurate or late payment of contributions.</w:t>
      </w:r>
    </w:p>
    <w:p w14:paraId="533F5E6E" w14:textId="23695E84" w:rsidR="00AB3475" w:rsidRDefault="00E27B3F">
      <w:pPr>
        <w:pStyle w:val="BodyText"/>
        <w:spacing w:before="240"/>
        <w:ind w:left="199" w:right="556"/>
        <w:jc w:val="both"/>
      </w:pPr>
      <w:r>
        <w:rPr>
          <w:b/>
        </w:rPr>
        <w:t>Defined Contribution</w:t>
      </w:r>
      <w:r>
        <w:rPr>
          <w:b/>
          <w:spacing w:val="-10"/>
        </w:rPr>
        <w:t xml:space="preserve"> </w:t>
      </w:r>
      <w:r>
        <w:rPr>
          <w:b/>
        </w:rPr>
        <w:t>section</w:t>
      </w:r>
      <w:r>
        <w:rPr>
          <w:b/>
          <w:spacing w:val="-12"/>
        </w:rPr>
        <w:t xml:space="preserve"> </w:t>
      </w:r>
      <w:r>
        <w:rPr>
          <w:b/>
        </w:rPr>
        <w:t>-</w:t>
      </w:r>
      <w:r>
        <w:rPr>
          <w:b/>
          <w:spacing w:val="-10"/>
        </w:rPr>
        <w:t xml:space="preserve"> </w:t>
      </w:r>
      <w:r>
        <w:t>the</w:t>
      </w:r>
      <w:r>
        <w:rPr>
          <w:spacing w:val="-14"/>
        </w:rPr>
        <w:t xml:space="preserve"> </w:t>
      </w:r>
      <w:r>
        <w:t>Trustee</w:t>
      </w:r>
      <w:r>
        <w:rPr>
          <w:spacing w:val="-12"/>
        </w:rPr>
        <w:t xml:space="preserve"> </w:t>
      </w:r>
      <w:r>
        <w:t>has</w:t>
      </w:r>
      <w:r>
        <w:rPr>
          <w:spacing w:val="-13"/>
        </w:rPr>
        <w:t xml:space="preserve"> </w:t>
      </w:r>
      <w:r>
        <w:t>governance</w:t>
      </w:r>
      <w:r>
        <w:rPr>
          <w:spacing w:val="-12"/>
        </w:rPr>
        <w:t xml:space="preserve"> </w:t>
      </w:r>
      <w:r>
        <w:t>processes</w:t>
      </w:r>
      <w:r>
        <w:rPr>
          <w:spacing w:val="-12"/>
        </w:rPr>
        <w:t xml:space="preserve"> </w:t>
      </w:r>
      <w:r>
        <w:t>in</w:t>
      </w:r>
      <w:r>
        <w:rPr>
          <w:spacing w:val="-11"/>
        </w:rPr>
        <w:t xml:space="preserve"> </w:t>
      </w:r>
      <w:r>
        <w:t>place</w:t>
      </w:r>
      <w:r>
        <w:rPr>
          <w:spacing w:val="-14"/>
        </w:rPr>
        <w:t xml:space="preserve"> </w:t>
      </w:r>
      <w:r>
        <w:t>for</w:t>
      </w:r>
      <w:r>
        <w:rPr>
          <w:spacing w:val="-13"/>
        </w:rPr>
        <w:t xml:space="preserve"> </w:t>
      </w:r>
      <w:r>
        <w:t>the</w:t>
      </w:r>
      <w:r>
        <w:rPr>
          <w:spacing w:val="-12"/>
        </w:rPr>
        <w:t xml:space="preserve"> </w:t>
      </w:r>
      <w:r>
        <w:t>Defined Contribution section whereby core financial transactions and other key governance factors are monitored quarterly.</w:t>
      </w:r>
    </w:p>
    <w:p w14:paraId="533F5E6F" w14:textId="77777777" w:rsidR="00AB3475" w:rsidRDefault="00AB3475">
      <w:pPr>
        <w:pStyle w:val="BodyText"/>
        <w:spacing w:before="1"/>
      </w:pPr>
    </w:p>
    <w:p w14:paraId="533F5E70" w14:textId="066FCFAE" w:rsidR="00AB3475" w:rsidRDefault="00A853B3">
      <w:pPr>
        <w:pStyle w:val="BodyText"/>
        <w:ind w:left="199" w:right="552"/>
        <w:jc w:val="both"/>
      </w:pPr>
      <w:r>
        <w:t>The</w:t>
      </w:r>
      <w:r>
        <w:rPr>
          <w:spacing w:val="-12"/>
        </w:rPr>
        <w:t xml:space="preserve"> </w:t>
      </w:r>
      <w:r>
        <w:t>Trustee</w:t>
      </w:r>
      <w:r>
        <w:rPr>
          <w:spacing w:val="-7"/>
        </w:rPr>
        <w:t xml:space="preserve"> </w:t>
      </w:r>
      <w:r>
        <w:t>has</w:t>
      </w:r>
      <w:r>
        <w:rPr>
          <w:spacing w:val="-8"/>
        </w:rPr>
        <w:t xml:space="preserve"> </w:t>
      </w:r>
      <w:r>
        <w:t>a</w:t>
      </w:r>
      <w:r>
        <w:rPr>
          <w:spacing w:val="-6"/>
        </w:rPr>
        <w:t xml:space="preserve"> </w:t>
      </w:r>
      <w:r>
        <w:t>SLA</w:t>
      </w:r>
      <w:r>
        <w:rPr>
          <w:spacing w:val="-10"/>
        </w:rPr>
        <w:t xml:space="preserve"> </w:t>
      </w:r>
      <w:r>
        <w:t>in</w:t>
      </w:r>
      <w:r>
        <w:rPr>
          <w:spacing w:val="-6"/>
        </w:rPr>
        <w:t xml:space="preserve"> </w:t>
      </w:r>
      <w:r>
        <w:t>place</w:t>
      </w:r>
      <w:r>
        <w:rPr>
          <w:spacing w:val="-7"/>
        </w:rPr>
        <w:t xml:space="preserve"> </w:t>
      </w:r>
      <w:r>
        <w:t>with</w:t>
      </w:r>
      <w:r>
        <w:rPr>
          <w:spacing w:val="-6"/>
        </w:rPr>
        <w:t xml:space="preserve"> </w:t>
      </w:r>
      <w:r>
        <w:t>L&amp;G.</w:t>
      </w:r>
      <w:r>
        <w:rPr>
          <w:spacing w:val="-8"/>
        </w:rPr>
        <w:t xml:space="preserve"> </w:t>
      </w:r>
      <w:r>
        <w:t>This</w:t>
      </w:r>
      <w:r>
        <w:rPr>
          <w:spacing w:val="-6"/>
        </w:rPr>
        <w:t xml:space="preserve"> </w:t>
      </w:r>
      <w:r>
        <w:t>covers</w:t>
      </w:r>
      <w:r>
        <w:rPr>
          <w:spacing w:val="-6"/>
        </w:rPr>
        <w:t xml:space="preserve"> </w:t>
      </w:r>
      <w:r>
        <w:t>a</w:t>
      </w:r>
      <w:r>
        <w:rPr>
          <w:spacing w:val="-6"/>
        </w:rPr>
        <w:t xml:space="preserve"> </w:t>
      </w:r>
      <w:r>
        <w:t>number</w:t>
      </w:r>
      <w:r>
        <w:rPr>
          <w:spacing w:val="-8"/>
        </w:rPr>
        <w:t xml:space="preserve"> </w:t>
      </w:r>
      <w:r>
        <w:t>of</w:t>
      </w:r>
      <w:r>
        <w:rPr>
          <w:spacing w:val="-7"/>
        </w:rPr>
        <w:t xml:space="preserve"> </w:t>
      </w:r>
      <w:r>
        <w:t>key</w:t>
      </w:r>
      <w:r>
        <w:rPr>
          <w:spacing w:val="-9"/>
        </w:rPr>
        <w:t xml:space="preserve"> </w:t>
      </w:r>
      <w:r>
        <w:t>administration</w:t>
      </w:r>
      <w:r>
        <w:rPr>
          <w:spacing w:val="-7"/>
        </w:rPr>
        <w:t xml:space="preserve"> </w:t>
      </w:r>
      <w:r>
        <w:t xml:space="preserve">processes to be performed, including all core financial transactions and the target timescale within which each of these processes needs to be completed. The </w:t>
      </w:r>
      <w:r w:rsidR="00FE0E09">
        <w:t>Pension Fund Office</w:t>
      </w:r>
      <w:r>
        <w:t xml:space="preserve"> receives quarterly reports from L&amp;G that</w:t>
      </w:r>
      <w:r>
        <w:rPr>
          <w:spacing w:val="-2"/>
        </w:rPr>
        <w:t xml:space="preserve"> </w:t>
      </w:r>
      <w:r>
        <w:t>enable</w:t>
      </w:r>
      <w:r>
        <w:rPr>
          <w:spacing w:val="-3"/>
        </w:rPr>
        <w:t xml:space="preserve"> </w:t>
      </w:r>
      <w:r>
        <w:t>the</w:t>
      </w:r>
      <w:r>
        <w:rPr>
          <w:spacing w:val="-3"/>
        </w:rPr>
        <w:t xml:space="preserve"> </w:t>
      </w:r>
      <w:r w:rsidR="00FE0E09">
        <w:t>Pension Fund Office</w:t>
      </w:r>
      <w:r>
        <w:rPr>
          <w:spacing w:val="-4"/>
        </w:rPr>
        <w:t xml:space="preserve"> </w:t>
      </w:r>
      <w:r>
        <w:t>to</w:t>
      </w:r>
      <w:r>
        <w:rPr>
          <w:spacing w:val="-4"/>
        </w:rPr>
        <w:t xml:space="preserve"> </w:t>
      </w:r>
      <w:r>
        <w:t>monitor</w:t>
      </w:r>
      <w:r>
        <w:rPr>
          <w:spacing w:val="-5"/>
        </w:rPr>
        <w:t xml:space="preserve"> </w:t>
      </w:r>
      <w:r w:rsidR="00FE0E09">
        <w:rPr>
          <w:spacing w:val="-5"/>
        </w:rPr>
        <w:t xml:space="preserve">and report to the Trustee </w:t>
      </w:r>
      <w:r>
        <w:t>that</w:t>
      </w:r>
      <w:r>
        <w:rPr>
          <w:spacing w:val="-4"/>
        </w:rPr>
        <w:t xml:space="preserve"> </w:t>
      </w:r>
      <w:r>
        <w:t>the</w:t>
      </w:r>
      <w:r>
        <w:rPr>
          <w:spacing w:val="-3"/>
        </w:rPr>
        <w:t xml:space="preserve"> </w:t>
      </w:r>
      <w:r>
        <w:t>SLA</w:t>
      </w:r>
      <w:r>
        <w:rPr>
          <w:spacing w:val="-2"/>
        </w:rPr>
        <w:t xml:space="preserve"> </w:t>
      </w:r>
      <w:r>
        <w:t>is</w:t>
      </w:r>
      <w:r>
        <w:rPr>
          <w:spacing w:val="-3"/>
        </w:rPr>
        <w:t xml:space="preserve"> </w:t>
      </w:r>
      <w:r>
        <w:t>being</w:t>
      </w:r>
      <w:r>
        <w:rPr>
          <w:spacing w:val="-1"/>
        </w:rPr>
        <w:t xml:space="preserve"> </w:t>
      </w:r>
      <w:r>
        <w:t>met,</w:t>
      </w:r>
      <w:r>
        <w:rPr>
          <w:spacing w:val="-2"/>
        </w:rPr>
        <w:t xml:space="preserve"> </w:t>
      </w:r>
      <w:r>
        <w:t>and</w:t>
      </w:r>
      <w:r>
        <w:rPr>
          <w:spacing w:val="-5"/>
        </w:rPr>
        <w:t xml:space="preserve"> </w:t>
      </w:r>
      <w:r>
        <w:t>to</w:t>
      </w:r>
      <w:r>
        <w:rPr>
          <w:spacing w:val="-3"/>
        </w:rPr>
        <w:t xml:space="preserve"> </w:t>
      </w:r>
      <w:r>
        <w:t>investigate an</w:t>
      </w:r>
      <w:r w:rsidR="0099029F">
        <w:t>y</w:t>
      </w:r>
      <w:r>
        <w:rPr>
          <w:spacing w:val="-1"/>
        </w:rPr>
        <w:t xml:space="preserve"> </w:t>
      </w:r>
      <w:r>
        <w:t>instances</w:t>
      </w:r>
      <w:r>
        <w:rPr>
          <w:spacing w:val="-3"/>
        </w:rPr>
        <w:t xml:space="preserve"> </w:t>
      </w:r>
      <w:r>
        <w:t>where the</w:t>
      </w:r>
      <w:r>
        <w:rPr>
          <w:spacing w:val="-8"/>
        </w:rPr>
        <w:t xml:space="preserve"> </w:t>
      </w:r>
      <w:r>
        <w:t>SLA</w:t>
      </w:r>
      <w:r>
        <w:rPr>
          <w:spacing w:val="-9"/>
        </w:rPr>
        <w:t xml:space="preserve"> </w:t>
      </w:r>
      <w:r>
        <w:t>is</w:t>
      </w:r>
      <w:r>
        <w:rPr>
          <w:spacing w:val="-10"/>
        </w:rPr>
        <w:t xml:space="preserve"> </w:t>
      </w:r>
      <w:r>
        <w:t>not</w:t>
      </w:r>
      <w:r>
        <w:rPr>
          <w:spacing w:val="-9"/>
        </w:rPr>
        <w:t xml:space="preserve"> </w:t>
      </w:r>
      <w:r>
        <w:t>met.</w:t>
      </w:r>
      <w:r>
        <w:rPr>
          <w:spacing w:val="40"/>
        </w:rPr>
        <w:t xml:space="preserve"> </w:t>
      </w:r>
      <w:r>
        <w:t>L&amp;G</w:t>
      </w:r>
      <w:r>
        <w:rPr>
          <w:spacing w:val="-11"/>
        </w:rPr>
        <w:t xml:space="preserve"> </w:t>
      </w:r>
      <w:r>
        <w:t>also</w:t>
      </w:r>
      <w:r>
        <w:rPr>
          <w:spacing w:val="-8"/>
        </w:rPr>
        <w:t xml:space="preserve"> </w:t>
      </w:r>
      <w:r>
        <w:t>attend</w:t>
      </w:r>
      <w:r>
        <w:rPr>
          <w:spacing w:val="-13"/>
        </w:rPr>
        <w:t xml:space="preserve"> </w:t>
      </w:r>
      <w:r w:rsidR="00FE0E09">
        <w:t>regular</w:t>
      </w:r>
      <w:r>
        <w:rPr>
          <w:spacing w:val="-9"/>
        </w:rPr>
        <w:t xml:space="preserve"> </w:t>
      </w:r>
      <w:r>
        <w:t>meetings</w:t>
      </w:r>
      <w:r>
        <w:rPr>
          <w:spacing w:val="-10"/>
        </w:rPr>
        <w:t xml:space="preserve"> </w:t>
      </w:r>
      <w:r w:rsidR="00FE0E09">
        <w:rPr>
          <w:spacing w:val="-10"/>
        </w:rPr>
        <w:t xml:space="preserve">with the Pension Fund Office </w:t>
      </w:r>
      <w:r>
        <w:t>to</w:t>
      </w:r>
      <w:r>
        <w:rPr>
          <w:spacing w:val="-10"/>
        </w:rPr>
        <w:t xml:space="preserve"> </w:t>
      </w:r>
      <w:r>
        <w:t>discuss</w:t>
      </w:r>
      <w:r>
        <w:rPr>
          <w:spacing w:val="-10"/>
        </w:rPr>
        <w:t xml:space="preserve"> </w:t>
      </w:r>
      <w:r>
        <w:t>any</w:t>
      </w:r>
      <w:r>
        <w:rPr>
          <w:spacing w:val="-10"/>
        </w:rPr>
        <w:t xml:space="preserve"> </w:t>
      </w:r>
      <w:r>
        <w:t>issues</w:t>
      </w:r>
      <w:r>
        <w:rPr>
          <w:spacing w:val="-7"/>
        </w:rPr>
        <w:t xml:space="preserve"> </w:t>
      </w:r>
      <w:r>
        <w:t>and</w:t>
      </w:r>
      <w:r>
        <w:rPr>
          <w:spacing w:val="-10"/>
        </w:rPr>
        <w:t xml:space="preserve"> </w:t>
      </w:r>
      <w:r>
        <w:t>queries.</w:t>
      </w:r>
    </w:p>
    <w:p w14:paraId="533F5E72" w14:textId="2F2CD259" w:rsidR="00AB3475" w:rsidRDefault="00131ECB" w:rsidP="00131ECB">
      <w:pPr>
        <w:jc w:val="both"/>
      </w:pPr>
      <w:r>
        <w:t xml:space="preserve"> </w:t>
      </w:r>
    </w:p>
    <w:p w14:paraId="533F5E73" w14:textId="028927EC" w:rsidR="00AB3475" w:rsidRDefault="00A853B3">
      <w:pPr>
        <w:pStyle w:val="BodyText"/>
        <w:ind w:left="199" w:right="552"/>
        <w:jc w:val="both"/>
      </w:pPr>
      <w:r>
        <w:t>The</w:t>
      </w:r>
      <w:r>
        <w:rPr>
          <w:spacing w:val="-1"/>
        </w:rPr>
        <w:t xml:space="preserve"> </w:t>
      </w:r>
      <w:r>
        <w:t>Trustee’s</w:t>
      </w:r>
      <w:r>
        <w:rPr>
          <w:spacing w:val="-1"/>
        </w:rPr>
        <w:t xml:space="preserve"> </w:t>
      </w:r>
      <w:r>
        <w:t>DC advisers review</w:t>
      </w:r>
      <w:r>
        <w:rPr>
          <w:spacing w:val="-2"/>
        </w:rPr>
        <w:t xml:space="preserve"> </w:t>
      </w:r>
      <w:r>
        <w:t>the suitability</w:t>
      </w:r>
      <w:r>
        <w:rPr>
          <w:spacing w:val="-1"/>
        </w:rPr>
        <w:t xml:space="preserve"> </w:t>
      </w:r>
      <w:r>
        <w:t>of the</w:t>
      </w:r>
      <w:r>
        <w:rPr>
          <w:spacing w:val="-1"/>
        </w:rPr>
        <w:t xml:space="preserve"> </w:t>
      </w:r>
      <w:r w:rsidR="00E27B3F">
        <w:t>Defined Contribution</w:t>
      </w:r>
      <w:r>
        <w:t xml:space="preserve"> section and L&amp;G as a provider on an annual basis.</w:t>
      </w:r>
    </w:p>
    <w:p w14:paraId="3F67C1EA" w14:textId="77777777" w:rsidR="00356B28" w:rsidRDefault="00356B28">
      <w:pPr>
        <w:pStyle w:val="BodyText"/>
        <w:ind w:left="199" w:right="552"/>
        <w:jc w:val="both"/>
      </w:pPr>
    </w:p>
    <w:p w14:paraId="7684A130" w14:textId="35D6AA31" w:rsidR="00356B28" w:rsidRDefault="00356B28">
      <w:pPr>
        <w:pStyle w:val="BodyText"/>
        <w:ind w:left="199" w:right="552"/>
        <w:jc w:val="both"/>
      </w:pPr>
      <w:r>
        <w:t>The Trustee undertook at review of board effectiveness and it</w:t>
      </w:r>
      <w:r w:rsidR="00352BBB">
        <w:t>s</w:t>
      </w:r>
      <w:r>
        <w:t xml:space="preserve"> governance and beliefs on </w:t>
      </w:r>
      <w:r w:rsidR="00352BBB">
        <w:t>18 </w:t>
      </w:r>
      <w:r>
        <w:t>September 2024</w:t>
      </w:r>
      <w:r w:rsidR="00352BBB">
        <w:t xml:space="preserve">.  </w:t>
      </w:r>
      <w:r w:rsidR="00A853B3">
        <w:t xml:space="preserve">There was consensus </w:t>
      </w:r>
      <w:r w:rsidR="00A853B3" w:rsidRPr="00A853B3">
        <w:t>that the Board worked well, with directors from different disciplines</w:t>
      </w:r>
      <w:r w:rsidR="00A853B3">
        <w:t xml:space="preserve"> contributing different knowledge, experience and perspectives. </w:t>
      </w:r>
    </w:p>
    <w:p w14:paraId="533F5E79" w14:textId="77777777" w:rsidR="00AB3475" w:rsidRDefault="00A853B3">
      <w:pPr>
        <w:pStyle w:val="Heading2"/>
        <w:spacing w:before="251"/>
        <w:ind w:right="552"/>
        <w:jc w:val="both"/>
      </w:pPr>
      <w:r>
        <w:t>The Trustee concluded it has suitable governance processes in place with the right structures in place to support effective management of risks.</w:t>
      </w:r>
    </w:p>
    <w:p w14:paraId="533F5E7A" w14:textId="77777777" w:rsidR="00AB3475" w:rsidRDefault="00AB3475">
      <w:pPr>
        <w:pStyle w:val="BodyText"/>
        <w:spacing w:before="2"/>
        <w:rPr>
          <w:b/>
        </w:rPr>
      </w:pPr>
    </w:p>
    <w:p w14:paraId="533F5E7B" w14:textId="77777777" w:rsidR="00AB3475" w:rsidRDefault="00A853B3" w:rsidP="00372A58">
      <w:pPr>
        <w:pStyle w:val="ListParagraph"/>
        <w:numPr>
          <w:ilvl w:val="1"/>
          <w:numId w:val="19"/>
        </w:numPr>
        <w:tabs>
          <w:tab w:val="left" w:pos="622"/>
        </w:tabs>
        <w:ind w:left="622" w:hanging="423"/>
        <w:rPr>
          <w:b/>
        </w:rPr>
      </w:pPr>
      <w:r>
        <w:rPr>
          <w:b/>
          <w:spacing w:val="-2"/>
        </w:rPr>
        <w:t>Investments</w:t>
      </w:r>
    </w:p>
    <w:p w14:paraId="533F5E7C" w14:textId="77777777" w:rsidR="00AB3475" w:rsidRDefault="00A853B3">
      <w:pPr>
        <w:pStyle w:val="BodyText"/>
        <w:spacing w:before="239"/>
        <w:ind w:left="199" w:right="557"/>
        <w:jc w:val="both"/>
      </w:pPr>
      <w:r>
        <w:t>The Trustee believes that a well-designed investment portfolio that is subject to regular performance monitoring and assessment of suitability for the membership will make a large contribution to the delivery of good member outcomes.</w:t>
      </w:r>
    </w:p>
    <w:p w14:paraId="533F5E7D" w14:textId="77777777" w:rsidR="00AB3475" w:rsidRDefault="00AB3475">
      <w:pPr>
        <w:pStyle w:val="BodyText"/>
        <w:spacing w:before="1"/>
      </w:pPr>
    </w:p>
    <w:p w14:paraId="533F5E7E" w14:textId="7C3F3D33" w:rsidR="00AB3475" w:rsidRDefault="00E27B3F">
      <w:pPr>
        <w:pStyle w:val="BodyText"/>
        <w:ind w:left="199" w:right="554"/>
        <w:jc w:val="both"/>
      </w:pPr>
      <w:r>
        <w:rPr>
          <w:b/>
        </w:rPr>
        <w:t xml:space="preserve">Defined Contribution section - </w:t>
      </w:r>
      <w:r>
        <w:t>the Trustee has chosen L&amp;G’s range of target date funds as the default arrangement, following advice from its professional advisers and analysis of the membership.</w:t>
      </w:r>
      <w:r>
        <w:rPr>
          <w:spacing w:val="40"/>
        </w:rPr>
        <w:t xml:space="preserve"> </w:t>
      </w:r>
      <w:r>
        <w:t>A suitable range of alternative investment options on the risk / return spectrum is made</w:t>
      </w:r>
      <w:r>
        <w:rPr>
          <w:spacing w:val="-16"/>
        </w:rPr>
        <w:t xml:space="preserve"> </w:t>
      </w:r>
      <w:r>
        <w:t>available</w:t>
      </w:r>
      <w:r>
        <w:rPr>
          <w:spacing w:val="-15"/>
        </w:rPr>
        <w:t xml:space="preserve"> </w:t>
      </w:r>
      <w:r>
        <w:t>to</w:t>
      </w:r>
      <w:r>
        <w:rPr>
          <w:spacing w:val="-15"/>
        </w:rPr>
        <w:t xml:space="preserve"> </w:t>
      </w:r>
      <w:r>
        <w:t>members,</w:t>
      </w:r>
      <w:r>
        <w:rPr>
          <w:spacing w:val="-16"/>
        </w:rPr>
        <w:t xml:space="preserve"> </w:t>
      </w:r>
      <w:r>
        <w:t>including</w:t>
      </w:r>
      <w:r>
        <w:rPr>
          <w:spacing w:val="-15"/>
        </w:rPr>
        <w:t xml:space="preserve"> </w:t>
      </w:r>
      <w:r>
        <w:t>a</w:t>
      </w:r>
      <w:r>
        <w:rPr>
          <w:spacing w:val="-15"/>
        </w:rPr>
        <w:t xml:space="preserve"> </w:t>
      </w:r>
      <w:r>
        <w:t>Shariah-compliant</w:t>
      </w:r>
      <w:r>
        <w:rPr>
          <w:spacing w:val="-15"/>
        </w:rPr>
        <w:t xml:space="preserve"> </w:t>
      </w:r>
      <w:r>
        <w:t>fund</w:t>
      </w:r>
      <w:r>
        <w:rPr>
          <w:spacing w:val="-16"/>
        </w:rPr>
        <w:t xml:space="preserve"> </w:t>
      </w:r>
      <w:r>
        <w:t>and</w:t>
      </w:r>
      <w:r>
        <w:rPr>
          <w:spacing w:val="-15"/>
        </w:rPr>
        <w:t xml:space="preserve"> </w:t>
      </w:r>
      <w:r w:rsidR="00B40C4F">
        <w:rPr>
          <w:spacing w:val="-15"/>
        </w:rPr>
        <w:t xml:space="preserve">funds with ethical and </w:t>
      </w:r>
      <w:r>
        <w:t>environmental,</w:t>
      </w:r>
      <w:r>
        <w:rPr>
          <w:spacing w:val="-15"/>
        </w:rPr>
        <w:t xml:space="preserve"> </w:t>
      </w:r>
      <w:r>
        <w:t>social</w:t>
      </w:r>
      <w:r>
        <w:rPr>
          <w:spacing w:val="-16"/>
        </w:rPr>
        <w:t xml:space="preserve"> </w:t>
      </w:r>
      <w:r>
        <w:t xml:space="preserve">and governance </w:t>
      </w:r>
      <w:r w:rsidR="00B40C4F">
        <w:t>biases</w:t>
      </w:r>
      <w:r>
        <w:t>.</w:t>
      </w:r>
    </w:p>
    <w:p w14:paraId="533F5E7F" w14:textId="545924F4" w:rsidR="00AB3475" w:rsidRDefault="00A853B3">
      <w:pPr>
        <w:pStyle w:val="BodyText"/>
        <w:spacing w:before="252"/>
        <w:ind w:left="199" w:right="554"/>
        <w:jc w:val="both"/>
      </w:pPr>
      <w:r>
        <w:t>The</w:t>
      </w:r>
      <w:r>
        <w:rPr>
          <w:spacing w:val="-16"/>
        </w:rPr>
        <w:t xml:space="preserve"> </w:t>
      </w:r>
      <w:r>
        <w:t>Statement</w:t>
      </w:r>
      <w:r>
        <w:rPr>
          <w:spacing w:val="-15"/>
        </w:rPr>
        <w:t xml:space="preserve"> </w:t>
      </w:r>
      <w:r>
        <w:t>of</w:t>
      </w:r>
      <w:r>
        <w:rPr>
          <w:spacing w:val="-15"/>
        </w:rPr>
        <w:t xml:space="preserve"> </w:t>
      </w:r>
      <w:r>
        <w:t>Investment</w:t>
      </w:r>
      <w:r>
        <w:rPr>
          <w:spacing w:val="-16"/>
        </w:rPr>
        <w:t xml:space="preserve"> </w:t>
      </w:r>
      <w:r>
        <w:t>Principles</w:t>
      </w:r>
      <w:r>
        <w:rPr>
          <w:spacing w:val="-15"/>
        </w:rPr>
        <w:t xml:space="preserve"> </w:t>
      </w:r>
      <w:r>
        <w:t>sets</w:t>
      </w:r>
      <w:r>
        <w:rPr>
          <w:spacing w:val="-15"/>
        </w:rPr>
        <w:t xml:space="preserve"> </w:t>
      </w:r>
      <w:r>
        <w:t>out</w:t>
      </w:r>
      <w:r>
        <w:rPr>
          <w:spacing w:val="-15"/>
        </w:rPr>
        <w:t xml:space="preserve"> </w:t>
      </w:r>
      <w:r>
        <w:t>the</w:t>
      </w:r>
      <w:r>
        <w:rPr>
          <w:spacing w:val="-16"/>
        </w:rPr>
        <w:t xml:space="preserve"> </w:t>
      </w:r>
      <w:r>
        <w:t>aims</w:t>
      </w:r>
      <w:r>
        <w:rPr>
          <w:spacing w:val="-15"/>
        </w:rPr>
        <w:t xml:space="preserve"> </w:t>
      </w:r>
      <w:r>
        <w:t>and</w:t>
      </w:r>
      <w:r>
        <w:rPr>
          <w:spacing w:val="-15"/>
        </w:rPr>
        <w:t xml:space="preserve"> </w:t>
      </w:r>
      <w:r>
        <w:t>objectives</w:t>
      </w:r>
      <w:r>
        <w:rPr>
          <w:spacing w:val="-16"/>
        </w:rPr>
        <w:t xml:space="preserve"> </w:t>
      </w:r>
      <w:r>
        <w:t>of</w:t>
      </w:r>
      <w:r>
        <w:rPr>
          <w:spacing w:val="-15"/>
        </w:rPr>
        <w:t xml:space="preserve"> </w:t>
      </w:r>
      <w:r>
        <w:t>the</w:t>
      </w:r>
      <w:r>
        <w:rPr>
          <w:spacing w:val="-15"/>
        </w:rPr>
        <w:t xml:space="preserve"> </w:t>
      </w:r>
      <w:r w:rsidR="00E27B3F">
        <w:t>Defined Contribution</w:t>
      </w:r>
      <w:r>
        <w:t xml:space="preserve"> section default investment strategy and this is reviewed at least every three years.</w:t>
      </w:r>
    </w:p>
    <w:p w14:paraId="533F5E80" w14:textId="50E4C7AB" w:rsidR="00AB3475" w:rsidRDefault="00A853B3">
      <w:pPr>
        <w:pStyle w:val="BodyText"/>
        <w:spacing w:before="253"/>
        <w:ind w:left="199" w:right="556"/>
        <w:jc w:val="both"/>
      </w:pPr>
      <w:r>
        <w:t xml:space="preserve">The </w:t>
      </w:r>
      <w:r w:rsidR="00B87734">
        <w:t>Investment Committee</w:t>
      </w:r>
      <w:r>
        <w:t xml:space="preserve"> reviews investment performance after investment charges and transaction costs against the benchmarks set by L&amp;G on quarterly basis.</w:t>
      </w:r>
      <w:r>
        <w:rPr>
          <w:spacing w:val="40"/>
        </w:rPr>
        <w:t xml:space="preserve"> </w:t>
      </w:r>
      <w:r>
        <w:t xml:space="preserve">The investment performance reviews carried out </w:t>
      </w:r>
      <w:r w:rsidR="00B87734">
        <w:t>since the appointment of L&amp;G</w:t>
      </w:r>
      <w:r>
        <w:t xml:space="preserve"> identified no major concerns in relation to the relevant investment objectives.</w:t>
      </w:r>
    </w:p>
    <w:p w14:paraId="533F5E81" w14:textId="7833FF87" w:rsidR="00AB3475" w:rsidRDefault="00A853B3">
      <w:pPr>
        <w:pStyle w:val="BodyText"/>
        <w:spacing w:before="252"/>
        <w:ind w:left="199" w:right="554"/>
        <w:jc w:val="both"/>
      </w:pPr>
      <w:r>
        <w:t xml:space="preserve">The </w:t>
      </w:r>
      <w:r w:rsidR="00B87734">
        <w:t>Trustee</w:t>
      </w:r>
      <w:r>
        <w:t xml:space="preserve"> undertake</w:t>
      </w:r>
      <w:r w:rsidR="00B87734">
        <w:t>s</w:t>
      </w:r>
      <w:r>
        <w:t xml:space="preserve"> a formal review of the investment strategy every three years. The last review which was completed on </w:t>
      </w:r>
      <w:r w:rsidR="008A0710">
        <w:t xml:space="preserve">24 June 2024.  As </w:t>
      </w:r>
      <w:r w:rsidR="008A0710" w:rsidRPr="009B363B">
        <w:t>a result of the review the Trustee agreed</w:t>
      </w:r>
      <w:r w:rsidR="008A0710">
        <w:t xml:space="preserve"> to appoint L&amp;G as investment and administration provider, replacing the incumbent, Aegon.  From 1 October 2024 contributions from active members were paid to L&amp;G </w:t>
      </w:r>
      <w:r w:rsidR="008A0710" w:rsidRPr="005F266A">
        <w:t>and on 8</w:t>
      </w:r>
      <w:r w:rsidR="005F266A">
        <w:t> </w:t>
      </w:r>
      <w:r w:rsidR="008A0710" w:rsidRPr="005F266A">
        <w:t>January 2025 the funds held by Aegon for active and deferred members of the D</w:t>
      </w:r>
      <w:r w:rsidR="008A0710">
        <w:t>efined Contribution section were transferred to L&amp;G</w:t>
      </w:r>
      <w:r w:rsidR="008A0710" w:rsidRPr="009B363B">
        <w:rPr>
          <w:lang w:val="en-GB"/>
        </w:rPr>
        <w:t xml:space="preserve">.  </w:t>
      </w:r>
    </w:p>
    <w:p w14:paraId="533F5E82" w14:textId="77777777" w:rsidR="00AB3475" w:rsidRDefault="00AB3475">
      <w:pPr>
        <w:pStyle w:val="BodyText"/>
        <w:spacing w:before="1"/>
      </w:pPr>
    </w:p>
    <w:p w14:paraId="533F5E8B" w14:textId="77777777" w:rsidR="00AB3475" w:rsidRDefault="00A853B3">
      <w:pPr>
        <w:pStyle w:val="Heading2"/>
        <w:spacing w:before="252"/>
        <w:ind w:right="553"/>
        <w:jc w:val="both"/>
      </w:pPr>
      <w:r>
        <w:t>The Trustee has concluded that the processes it has in place to review and monitor investments are suitable.</w:t>
      </w:r>
    </w:p>
    <w:p w14:paraId="533F5E8C" w14:textId="77777777" w:rsidR="00AB3475" w:rsidRDefault="00AB3475">
      <w:pPr>
        <w:pStyle w:val="BodyText"/>
        <w:spacing w:before="120"/>
        <w:rPr>
          <w:b/>
        </w:rPr>
      </w:pPr>
    </w:p>
    <w:p w14:paraId="533F5E8D" w14:textId="77777777" w:rsidR="00AB3475" w:rsidRDefault="00A853B3" w:rsidP="00372A58">
      <w:pPr>
        <w:pStyle w:val="ListParagraph"/>
        <w:numPr>
          <w:ilvl w:val="1"/>
          <w:numId w:val="19"/>
        </w:numPr>
        <w:tabs>
          <w:tab w:val="left" w:pos="626"/>
        </w:tabs>
        <w:ind w:left="626" w:hanging="427"/>
        <w:rPr>
          <w:b/>
        </w:rPr>
      </w:pPr>
      <w:r>
        <w:rPr>
          <w:b/>
          <w:spacing w:val="-2"/>
        </w:rPr>
        <w:t>Administration</w:t>
      </w:r>
    </w:p>
    <w:p w14:paraId="533F5E8E" w14:textId="57EBD2EF" w:rsidR="00AB3475" w:rsidRDefault="00A853B3">
      <w:pPr>
        <w:pStyle w:val="BodyText"/>
        <w:spacing w:before="239"/>
        <w:ind w:left="199" w:right="559"/>
        <w:jc w:val="both"/>
      </w:pPr>
      <w:r>
        <w:t>The</w:t>
      </w:r>
      <w:r>
        <w:rPr>
          <w:spacing w:val="-4"/>
        </w:rPr>
        <w:t xml:space="preserve"> </w:t>
      </w:r>
      <w:r>
        <w:t>Trustee</w:t>
      </w:r>
      <w:r>
        <w:rPr>
          <w:spacing w:val="-2"/>
        </w:rPr>
        <w:t xml:space="preserve"> </w:t>
      </w:r>
      <w:r>
        <w:t>believes that good</w:t>
      </w:r>
      <w:r>
        <w:rPr>
          <w:spacing w:val="-2"/>
        </w:rPr>
        <w:t xml:space="preserve"> </w:t>
      </w:r>
      <w:r>
        <w:t>administration</w:t>
      </w:r>
      <w:r>
        <w:rPr>
          <w:spacing w:val="-2"/>
        </w:rPr>
        <w:t xml:space="preserve"> </w:t>
      </w:r>
      <w:r>
        <w:t>and record</w:t>
      </w:r>
      <w:r>
        <w:rPr>
          <w:spacing w:val="-4"/>
        </w:rPr>
        <w:t xml:space="preserve"> </w:t>
      </w:r>
      <w:r>
        <w:t>keeping play</w:t>
      </w:r>
      <w:r>
        <w:rPr>
          <w:spacing w:val="-2"/>
        </w:rPr>
        <w:t xml:space="preserve"> </w:t>
      </w:r>
      <w:r>
        <w:t>a</w:t>
      </w:r>
      <w:r>
        <w:rPr>
          <w:spacing w:val="-2"/>
        </w:rPr>
        <w:t xml:space="preserve"> </w:t>
      </w:r>
      <w:r>
        <w:t>crucial</w:t>
      </w:r>
      <w:r>
        <w:rPr>
          <w:spacing w:val="-1"/>
        </w:rPr>
        <w:t xml:space="preserve"> </w:t>
      </w:r>
      <w:r>
        <w:t>role</w:t>
      </w:r>
      <w:r>
        <w:rPr>
          <w:spacing w:val="-2"/>
        </w:rPr>
        <w:t xml:space="preserve"> </w:t>
      </w:r>
      <w:r>
        <w:t>in</w:t>
      </w:r>
      <w:r>
        <w:rPr>
          <w:spacing w:val="-2"/>
        </w:rPr>
        <w:t xml:space="preserve"> </w:t>
      </w:r>
      <w:r>
        <w:t xml:space="preserve">ensuring that </w:t>
      </w:r>
      <w:r w:rsidR="003B29DD">
        <w:t>the Fund</w:t>
      </w:r>
      <w:r>
        <w:t xml:space="preserve"> operates efficiently and members receive the retirement benefits due to them.</w:t>
      </w:r>
    </w:p>
    <w:p w14:paraId="533F5E91" w14:textId="5BAF8C9A" w:rsidR="00AB3475" w:rsidRDefault="00A853B3">
      <w:pPr>
        <w:pStyle w:val="BodyText"/>
        <w:spacing w:before="252"/>
        <w:ind w:left="199" w:right="553"/>
        <w:jc w:val="both"/>
      </w:pPr>
      <w:r>
        <w:t>The Trustee has service level agreements in place with L&amp;G and the Pension</w:t>
      </w:r>
      <w:r w:rsidR="00DD778E">
        <w:t xml:space="preserve"> Fund</w:t>
      </w:r>
      <w:r>
        <w:t xml:space="preserve"> Office covering all aspects of administration undertaken and both service providers report performance against these on a quarterly basis. This enables the Trustee to monitor standards of administration on a regular basis and investigate any</w:t>
      </w:r>
      <w:r>
        <w:rPr>
          <w:spacing w:val="-6"/>
        </w:rPr>
        <w:t xml:space="preserve"> </w:t>
      </w:r>
      <w:r>
        <w:t>issues</w:t>
      </w:r>
      <w:r>
        <w:rPr>
          <w:spacing w:val="-4"/>
        </w:rPr>
        <w:t xml:space="preserve"> </w:t>
      </w:r>
      <w:r>
        <w:t>that</w:t>
      </w:r>
      <w:r>
        <w:rPr>
          <w:spacing w:val="-3"/>
        </w:rPr>
        <w:t xml:space="preserve"> </w:t>
      </w:r>
      <w:r>
        <w:t>arise.</w:t>
      </w:r>
      <w:r w:rsidR="00D10344">
        <w:t xml:space="preserve"> Since appointment, </w:t>
      </w:r>
      <w:r w:rsidRPr="007E5271">
        <w:t>L&amp;G</w:t>
      </w:r>
      <w:r w:rsidRPr="007E5271">
        <w:rPr>
          <w:spacing w:val="-3"/>
        </w:rPr>
        <w:t xml:space="preserve"> </w:t>
      </w:r>
      <w:r w:rsidRPr="007E5271">
        <w:t>met</w:t>
      </w:r>
      <w:r w:rsidRPr="007E5271">
        <w:rPr>
          <w:spacing w:val="-5"/>
        </w:rPr>
        <w:t xml:space="preserve"> </w:t>
      </w:r>
      <w:r w:rsidRPr="007E5271">
        <w:t>the</w:t>
      </w:r>
      <w:r w:rsidRPr="007E5271">
        <w:rPr>
          <w:spacing w:val="-4"/>
        </w:rPr>
        <w:t xml:space="preserve"> </w:t>
      </w:r>
      <w:r w:rsidRPr="007E5271">
        <w:t>SLA</w:t>
      </w:r>
      <w:r w:rsidRPr="007E5271">
        <w:rPr>
          <w:spacing w:val="-5"/>
        </w:rPr>
        <w:t xml:space="preserve"> </w:t>
      </w:r>
      <w:r w:rsidRPr="007E5271">
        <w:t>for</w:t>
      </w:r>
      <w:r w:rsidRPr="007E5271">
        <w:rPr>
          <w:spacing w:val="-2"/>
        </w:rPr>
        <w:t xml:space="preserve"> </w:t>
      </w:r>
      <w:r w:rsidRPr="007E5271">
        <w:t>all</w:t>
      </w:r>
      <w:r w:rsidRPr="007E5271">
        <w:rPr>
          <w:spacing w:val="-5"/>
        </w:rPr>
        <w:t xml:space="preserve"> </w:t>
      </w:r>
      <w:r w:rsidRPr="007E5271">
        <w:t>tasks</w:t>
      </w:r>
      <w:r w:rsidRPr="007E5271">
        <w:rPr>
          <w:spacing w:val="-3"/>
        </w:rPr>
        <w:t xml:space="preserve"> </w:t>
      </w:r>
      <w:r w:rsidRPr="007E5271">
        <w:t>99.9</w:t>
      </w:r>
      <w:r w:rsidR="00476F36" w:rsidRPr="007E5271">
        <w:t>3</w:t>
      </w:r>
      <w:r w:rsidRPr="007E5271">
        <w:t>%</w:t>
      </w:r>
      <w:r w:rsidRPr="007E5271">
        <w:rPr>
          <w:spacing w:val="-3"/>
        </w:rPr>
        <w:t xml:space="preserve"> </w:t>
      </w:r>
      <w:r w:rsidRPr="007E5271">
        <w:t>of</w:t>
      </w:r>
      <w:r w:rsidRPr="007E5271">
        <w:rPr>
          <w:spacing w:val="-3"/>
        </w:rPr>
        <w:t xml:space="preserve"> </w:t>
      </w:r>
      <w:r w:rsidRPr="007E5271">
        <w:t>the</w:t>
      </w:r>
      <w:r w:rsidRPr="007E5271">
        <w:rPr>
          <w:spacing w:val="-7"/>
        </w:rPr>
        <w:t xml:space="preserve"> </w:t>
      </w:r>
      <w:r w:rsidRPr="007E5271">
        <w:t>time</w:t>
      </w:r>
      <w:r w:rsidR="007E5271" w:rsidRPr="007E5271">
        <w:t xml:space="preserve"> and 97.41% for the tasks covering customer updates and enquiries</w:t>
      </w:r>
      <w:r w:rsidRPr="007E5271">
        <w:t>.</w:t>
      </w:r>
    </w:p>
    <w:p w14:paraId="533F5E92" w14:textId="77777777" w:rsidR="00AB3475" w:rsidRDefault="00AB3475">
      <w:pPr>
        <w:pStyle w:val="BodyText"/>
      </w:pPr>
    </w:p>
    <w:p w14:paraId="533F5E93" w14:textId="5ACFA0B4" w:rsidR="00AB3475" w:rsidRDefault="00A853B3">
      <w:pPr>
        <w:pStyle w:val="BodyText"/>
        <w:ind w:left="199" w:right="555"/>
        <w:jc w:val="both"/>
      </w:pPr>
      <w:r>
        <w:t>L&amp;G</w:t>
      </w:r>
      <w:r>
        <w:rPr>
          <w:spacing w:val="-5"/>
        </w:rPr>
        <w:t xml:space="preserve"> </w:t>
      </w:r>
      <w:r>
        <w:t>also</w:t>
      </w:r>
      <w:r>
        <w:rPr>
          <w:spacing w:val="-7"/>
        </w:rPr>
        <w:t xml:space="preserve"> </w:t>
      </w:r>
      <w:r>
        <w:t>reports</w:t>
      </w:r>
      <w:r>
        <w:rPr>
          <w:spacing w:val="-6"/>
        </w:rPr>
        <w:t xml:space="preserve"> </w:t>
      </w:r>
      <w:r>
        <w:t>on</w:t>
      </w:r>
      <w:r>
        <w:rPr>
          <w:spacing w:val="-6"/>
        </w:rPr>
        <w:t xml:space="preserve"> </w:t>
      </w:r>
      <w:r>
        <w:t>the</w:t>
      </w:r>
      <w:r>
        <w:rPr>
          <w:spacing w:val="-6"/>
        </w:rPr>
        <w:t xml:space="preserve"> </w:t>
      </w:r>
      <w:r>
        <w:t>time</w:t>
      </w:r>
      <w:r>
        <w:rPr>
          <w:spacing w:val="-6"/>
        </w:rPr>
        <w:t xml:space="preserve"> </w:t>
      </w:r>
      <w:r>
        <w:t>taken</w:t>
      </w:r>
      <w:r>
        <w:rPr>
          <w:spacing w:val="-7"/>
        </w:rPr>
        <w:t xml:space="preserve"> </w:t>
      </w:r>
      <w:r>
        <w:t>to</w:t>
      </w:r>
      <w:r>
        <w:rPr>
          <w:spacing w:val="-9"/>
        </w:rPr>
        <w:t xml:space="preserve"> </w:t>
      </w:r>
      <w:r>
        <w:t>respond</w:t>
      </w:r>
      <w:r>
        <w:rPr>
          <w:spacing w:val="-9"/>
        </w:rPr>
        <w:t xml:space="preserve"> </w:t>
      </w:r>
      <w:r>
        <w:t>to</w:t>
      </w:r>
      <w:r>
        <w:rPr>
          <w:spacing w:val="-9"/>
        </w:rPr>
        <w:t xml:space="preserve"> </w:t>
      </w:r>
      <w:r>
        <w:t>member</w:t>
      </w:r>
      <w:r>
        <w:rPr>
          <w:spacing w:val="-5"/>
        </w:rPr>
        <w:t xml:space="preserve"> </w:t>
      </w:r>
      <w:r>
        <w:t>enquiries</w:t>
      </w:r>
      <w:r>
        <w:rPr>
          <w:spacing w:val="-6"/>
        </w:rPr>
        <w:t xml:space="preserve"> </w:t>
      </w:r>
      <w:r>
        <w:t>and</w:t>
      </w:r>
      <w:r>
        <w:rPr>
          <w:spacing w:val="-6"/>
        </w:rPr>
        <w:t xml:space="preserve"> </w:t>
      </w:r>
      <w:r>
        <w:t>any</w:t>
      </w:r>
      <w:r>
        <w:rPr>
          <w:spacing w:val="-6"/>
        </w:rPr>
        <w:t xml:space="preserve"> </w:t>
      </w:r>
      <w:r>
        <w:t>member</w:t>
      </w:r>
      <w:r>
        <w:rPr>
          <w:spacing w:val="-5"/>
        </w:rPr>
        <w:t xml:space="preserve"> </w:t>
      </w:r>
      <w:r>
        <w:t>complaints received in its quarterly governance reports.</w:t>
      </w:r>
      <w:r>
        <w:rPr>
          <w:spacing w:val="40"/>
        </w:rPr>
        <w:t xml:space="preserve"> </w:t>
      </w:r>
      <w:r>
        <w:t>L&amp;</w:t>
      </w:r>
      <w:r w:rsidRPr="006D3C0A">
        <w:t xml:space="preserve">G received </w:t>
      </w:r>
      <w:r w:rsidR="00901385" w:rsidRPr="006D3C0A">
        <w:t>no</w:t>
      </w:r>
      <w:r w:rsidRPr="006D3C0A">
        <w:t xml:space="preserve"> member complaints </w:t>
      </w:r>
      <w:r>
        <w:t xml:space="preserve">during </w:t>
      </w:r>
      <w:r w:rsidR="003B29DD">
        <w:t xml:space="preserve">the </w:t>
      </w:r>
      <w:r w:rsidR="00CE16EB">
        <w:t>period</w:t>
      </w:r>
      <w:r>
        <w:t>.</w:t>
      </w:r>
      <w:r w:rsidRPr="006D3C0A">
        <w:t xml:space="preserve"> </w:t>
      </w:r>
    </w:p>
    <w:p w14:paraId="533F5E94" w14:textId="77777777" w:rsidR="00AB3475" w:rsidRDefault="00A853B3">
      <w:pPr>
        <w:pStyle w:val="BodyText"/>
        <w:spacing w:before="253"/>
        <w:ind w:left="199" w:right="569"/>
        <w:jc w:val="both"/>
      </w:pPr>
      <w:r>
        <w:t>Interfaces</w:t>
      </w:r>
      <w:r>
        <w:rPr>
          <w:spacing w:val="-2"/>
        </w:rPr>
        <w:t xml:space="preserve"> </w:t>
      </w:r>
      <w:r>
        <w:t>used</w:t>
      </w:r>
      <w:r>
        <w:rPr>
          <w:spacing w:val="-2"/>
        </w:rPr>
        <w:t xml:space="preserve"> </w:t>
      </w:r>
      <w:r>
        <w:t>to</w:t>
      </w:r>
      <w:r>
        <w:rPr>
          <w:spacing w:val="-2"/>
        </w:rPr>
        <w:t xml:space="preserve"> </w:t>
      </w:r>
      <w:r>
        <w:t>provide data</w:t>
      </w:r>
      <w:r>
        <w:rPr>
          <w:spacing w:val="-2"/>
        </w:rPr>
        <w:t xml:space="preserve"> </w:t>
      </w:r>
      <w:r>
        <w:t>to</w:t>
      </w:r>
      <w:r>
        <w:rPr>
          <w:spacing w:val="-2"/>
        </w:rPr>
        <w:t xml:space="preserve"> </w:t>
      </w:r>
      <w:r>
        <w:t>L&amp;G</w:t>
      </w:r>
      <w:r>
        <w:rPr>
          <w:spacing w:val="-1"/>
        </w:rPr>
        <w:t xml:space="preserve"> </w:t>
      </w:r>
      <w:r>
        <w:t>include automatic validation of key</w:t>
      </w:r>
      <w:r>
        <w:rPr>
          <w:spacing w:val="-2"/>
        </w:rPr>
        <w:t xml:space="preserve"> </w:t>
      </w:r>
      <w:r>
        <w:t>member data.</w:t>
      </w:r>
      <w:r>
        <w:rPr>
          <w:spacing w:val="40"/>
        </w:rPr>
        <w:t xml:space="preserve"> </w:t>
      </w:r>
      <w:r>
        <w:t>There is</w:t>
      </w:r>
      <w:r>
        <w:rPr>
          <w:spacing w:val="-2"/>
        </w:rPr>
        <w:t xml:space="preserve"> </w:t>
      </w:r>
      <w:r>
        <w:t>currently</w:t>
      </w:r>
      <w:r>
        <w:rPr>
          <w:spacing w:val="-4"/>
        </w:rPr>
        <w:t xml:space="preserve"> </w:t>
      </w:r>
      <w:r>
        <w:t>no</w:t>
      </w:r>
      <w:r>
        <w:rPr>
          <w:spacing w:val="-3"/>
        </w:rPr>
        <w:t xml:space="preserve"> </w:t>
      </w:r>
      <w:r>
        <w:t>specific</w:t>
      </w:r>
      <w:r>
        <w:rPr>
          <w:spacing w:val="-5"/>
        </w:rPr>
        <w:t xml:space="preserve"> </w:t>
      </w:r>
      <w:r>
        <w:t>action</w:t>
      </w:r>
      <w:r>
        <w:rPr>
          <w:spacing w:val="-3"/>
        </w:rPr>
        <w:t xml:space="preserve"> </w:t>
      </w:r>
      <w:r>
        <w:t>regarding</w:t>
      </w:r>
      <w:r>
        <w:rPr>
          <w:spacing w:val="-1"/>
        </w:rPr>
        <w:t xml:space="preserve"> </w:t>
      </w:r>
      <w:r>
        <w:t>data</w:t>
      </w:r>
      <w:r>
        <w:rPr>
          <w:spacing w:val="-5"/>
        </w:rPr>
        <w:t xml:space="preserve"> </w:t>
      </w:r>
      <w:r>
        <w:t>quality</w:t>
      </w:r>
      <w:r>
        <w:rPr>
          <w:spacing w:val="-5"/>
        </w:rPr>
        <w:t xml:space="preserve"> </w:t>
      </w:r>
      <w:r>
        <w:t>deemed</w:t>
      </w:r>
      <w:r>
        <w:rPr>
          <w:spacing w:val="-3"/>
        </w:rPr>
        <w:t xml:space="preserve"> </w:t>
      </w:r>
      <w:r>
        <w:t>necessary</w:t>
      </w:r>
      <w:r>
        <w:rPr>
          <w:spacing w:val="-4"/>
        </w:rPr>
        <w:t xml:space="preserve"> </w:t>
      </w:r>
      <w:r>
        <w:t>to</w:t>
      </w:r>
      <w:r>
        <w:rPr>
          <w:spacing w:val="-7"/>
        </w:rPr>
        <w:t xml:space="preserve"> </w:t>
      </w:r>
      <w:r>
        <w:t>be</w:t>
      </w:r>
      <w:r>
        <w:rPr>
          <w:spacing w:val="-3"/>
        </w:rPr>
        <w:t xml:space="preserve"> </w:t>
      </w:r>
      <w:r>
        <w:t>included</w:t>
      </w:r>
      <w:r>
        <w:rPr>
          <w:spacing w:val="-3"/>
        </w:rPr>
        <w:t xml:space="preserve"> </w:t>
      </w:r>
      <w:r>
        <w:t>within</w:t>
      </w:r>
      <w:r>
        <w:rPr>
          <w:spacing w:val="-3"/>
        </w:rPr>
        <w:t xml:space="preserve"> </w:t>
      </w:r>
      <w:r>
        <w:t>the Trustee’s Business Plan although this is kept under review.</w:t>
      </w:r>
    </w:p>
    <w:p w14:paraId="533F5E99" w14:textId="77777777" w:rsidR="00AB3475" w:rsidRDefault="00AB3475">
      <w:pPr>
        <w:pStyle w:val="BodyText"/>
        <w:spacing w:before="2"/>
      </w:pPr>
    </w:p>
    <w:p w14:paraId="533F5E9C" w14:textId="1F670B9D" w:rsidR="00AB3475" w:rsidRDefault="00A853B3" w:rsidP="001E61E5">
      <w:pPr>
        <w:pStyle w:val="Heading2"/>
        <w:ind w:right="553"/>
        <w:jc w:val="both"/>
      </w:pPr>
      <w:r>
        <w:t xml:space="preserve">The Trustee has concluded that the processes it has in place to review and monitor administration are suitable and that members received good standards of administration service over </w:t>
      </w:r>
      <w:r w:rsidR="003B29DD">
        <w:t xml:space="preserve">the </w:t>
      </w:r>
      <w:r w:rsidR="007455E3">
        <w:t>period</w:t>
      </w:r>
      <w:r>
        <w:t>.</w:t>
      </w:r>
      <w:r w:rsidR="001E61E5">
        <w:t xml:space="preserve"> </w:t>
      </w:r>
    </w:p>
    <w:p w14:paraId="4A396DC0" w14:textId="77777777" w:rsidR="001E61E5" w:rsidRDefault="001E61E5" w:rsidP="001E61E5">
      <w:pPr>
        <w:pStyle w:val="Heading2"/>
        <w:ind w:right="553"/>
        <w:jc w:val="both"/>
        <w:rPr>
          <w:b w:val="0"/>
        </w:rPr>
      </w:pPr>
    </w:p>
    <w:p w14:paraId="533F5E9D" w14:textId="7E67A5B6" w:rsidR="00AB3475" w:rsidRPr="00823D05" w:rsidRDefault="00A853B3" w:rsidP="00823D05">
      <w:pPr>
        <w:pStyle w:val="ListParagraph"/>
        <w:numPr>
          <w:ilvl w:val="1"/>
          <w:numId w:val="24"/>
        </w:numPr>
        <w:tabs>
          <w:tab w:val="left" w:pos="622"/>
        </w:tabs>
        <w:rPr>
          <w:b/>
        </w:rPr>
      </w:pPr>
      <w:r w:rsidRPr="00823D05">
        <w:rPr>
          <w:b/>
          <w:spacing w:val="-2"/>
        </w:rPr>
        <w:t>Member</w:t>
      </w:r>
      <w:r w:rsidRPr="00823D05">
        <w:rPr>
          <w:b/>
          <w:spacing w:val="-8"/>
        </w:rPr>
        <w:t xml:space="preserve"> </w:t>
      </w:r>
      <w:r w:rsidRPr="00823D05">
        <w:rPr>
          <w:b/>
          <w:spacing w:val="-2"/>
        </w:rPr>
        <w:t>communications</w:t>
      </w:r>
    </w:p>
    <w:p w14:paraId="533F5E9E" w14:textId="77777777" w:rsidR="00AB3475" w:rsidRDefault="00A853B3">
      <w:pPr>
        <w:pStyle w:val="BodyText"/>
        <w:spacing w:before="241"/>
        <w:ind w:left="199" w:right="559"/>
        <w:jc w:val="both"/>
      </w:pPr>
      <w:r>
        <w:t>The</w:t>
      </w:r>
      <w:r>
        <w:rPr>
          <w:spacing w:val="-14"/>
        </w:rPr>
        <w:t xml:space="preserve"> </w:t>
      </w:r>
      <w:r>
        <w:t>Trustee</w:t>
      </w:r>
      <w:r>
        <w:rPr>
          <w:spacing w:val="-14"/>
        </w:rPr>
        <w:t xml:space="preserve"> </w:t>
      </w:r>
      <w:r>
        <w:t>believes</w:t>
      </w:r>
      <w:r>
        <w:rPr>
          <w:spacing w:val="-11"/>
        </w:rPr>
        <w:t xml:space="preserve"> </w:t>
      </w:r>
      <w:r>
        <w:t>that</w:t>
      </w:r>
      <w:r>
        <w:rPr>
          <w:spacing w:val="-11"/>
        </w:rPr>
        <w:t xml:space="preserve"> </w:t>
      </w:r>
      <w:r>
        <w:t>effective</w:t>
      </w:r>
      <w:r>
        <w:rPr>
          <w:spacing w:val="-11"/>
        </w:rPr>
        <w:t xml:space="preserve"> </w:t>
      </w:r>
      <w:r>
        <w:t>member</w:t>
      </w:r>
      <w:r>
        <w:rPr>
          <w:spacing w:val="-11"/>
        </w:rPr>
        <w:t xml:space="preserve"> </w:t>
      </w:r>
      <w:r>
        <w:t>communications</w:t>
      </w:r>
      <w:r>
        <w:rPr>
          <w:spacing w:val="-11"/>
        </w:rPr>
        <w:t xml:space="preserve"> </w:t>
      </w:r>
      <w:r>
        <w:t>and</w:t>
      </w:r>
      <w:r>
        <w:rPr>
          <w:spacing w:val="-12"/>
        </w:rPr>
        <w:t xml:space="preserve"> </w:t>
      </w:r>
      <w:r>
        <w:t>delivery</w:t>
      </w:r>
      <w:r>
        <w:rPr>
          <w:spacing w:val="-13"/>
        </w:rPr>
        <w:t xml:space="preserve"> </w:t>
      </w:r>
      <w:r>
        <w:t>of</w:t>
      </w:r>
      <w:r>
        <w:rPr>
          <w:spacing w:val="-11"/>
        </w:rPr>
        <w:t xml:space="preserve"> </w:t>
      </w:r>
      <w:r>
        <w:t>the</w:t>
      </w:r>
      <w:r>
        <w:rPr>
          <w:spacing w:val="-14"/>
        </w:rPr>
        <w:t xml:space="preserve"> </w:t>
      </w:r>
      <w:r>
        <w:t>right</w:t>
      </w:r>
      <w:r>
        <w:rPr>
          <w:spacing w:val="-11"/>
        </w:rPr>
        <w:t xml:space="preserve"> </w:t>
      </w:r>
      <w:r>
        <w:t>support</w:t>
      </w:r>
      <w:r>
        <w:rPr>
          <w:spacing w:val="-12"/>
        </w:rPr>
        <w:t xml:space="preserve"> </w:t>
      </w:r>
      <w:r>
        <w:t>and tools help members understand and have the potential to improve their retirement outcomes.</w:t>
      </w:r>
    </w:p>
    <w:p w14:paraId="533F5E9F" w14:textId="1EE5A60F" w:rsidR="00AB3475" w:rsidRDefault="00A853B3">
      <w:pPr>
        <w:pStyle w:val="BodyText"/>
        <w:spacing w:before="253"/>
        <w:ind w:left="199" w:right="553"/>
        <w:jc w:val="both"/>
      </w:pPr>
      <w:r>
        <w:t xml:space="preserve">For the </w:t>
      </w:r>
      <w:r w:rsidR="00E27B3F">
        <w:t>Defined Contribution</w:t>
      </w:r>
      <w:r>
        <w:t xml:space="preserve"> section,</w:t>
      </w:r>
      <w:r>
        <w:rPr>
          <w:spacing w:val="-1"/>
        </w:rPr>
        <w:t xml:space="preserve"> </w:t>
      </w:r>
      <w:r>
        <w:t>the</w:t>
      </w:r>
      <w:r>
        <w:rPr>
          <w:spacing w:val="-2"/>
        </w:rPr>
        <w:t xml:space="preserve"> </w:t>
      </w:r>
      <w:r>
        <w:t>Trustee predominantly</w:t>
      </w:r>
      <w:r>
        <w:rPr>
          <w:spacing w:val="-2"/>
        </w:rPr>
        <w:t xml:space="preserve"> </w:t>
      </w:r>
      <w:r>
        <w:t>uses L&amp;G’s</w:t>
      </w:r>
      <w:r>
        <w:rPr>
          <w:spacing w:val="-1"/>
        </w:rPr>
        <w:t xml:space="preserve"> </w:t>
      </w:r>
      <w:r>
        <w:t>standard suite</w:t>
      </w:r>
      <w:r>
        <w:rPr>
          <w:spacing w:val="-2"/>
        </w:rPr>
        <w:t xml:space="preserve"> </w:t>
      </w:r>
      <w:r>
        <w:t xml:space="preserve">of communications that </w:t>
      </w:r>
      <w:r w:rsidR="00C55C13">
        <w:t xml:space="preserve">the Pension Fund Office </w:t>
      </w:r>
      <w:r>
        <w:t>reviews before issue to ensure it is suited</w:t>
      </w:r>
      <w:r>
        <w:rPr>
          <w:spacing w:val="-1"/>
        </w:rPr>
        <w:t xml:space="preserve"> </w:t>
      </w:r>
      <w:r>
        <w:t xml:space="preserve">to </w:t>
      </w:r>
      <w:r w:rsidR="003B29DD">
        <w:t>the Fund</w:t>
      </w:r>
      <w:r>
        <w:t>’s membership.</w:t>
      </w:r>
      <w:r>
        <w:rPr>
          <w:spacing w:val="40"/>
        </w:rPr>
        <w:t xml:space="preserve"> </w:t>
      </w:r>
      <w:r>
        <w:t>The</w:t>
      </w:r>
      <w:r>
        <w:rPr>
          <w:spacing w:val="-1"/>
        </w:rPr>
        <w:t xml:space="preserve"> </w:t>
      </w:r>
      <w:r>
        <w:t>Trustee issue</w:t>
      </w:r>
      <w:r w:rsidR="00C55C13">
        <w:t>s</w:t>
      </w:r>
      <w:r>
        <w:t xml:space="preserve"> separate DB and DC newsletters next year.</w:t>
      </w:r>
    </w:p>
    <w:p w14:paraId="533F5EA0" w14:textId="7E936BC3" w:rsidR="00AB3475" w:rsidRDefault="003B29DD">
      <w:pPr>
        <w:pStyle w:val="BodyText"/>
        <w:spacing w:before="252"/>
        <w:ind w:left="199" w:right="551"/>
        <w:jc w:val="both"/>
      </w:pPr>
      <w:r>
        <w:t>The Fund</w:t>
      </w:r>
      <w:r>
        <w:rPr>
          <w:spacing w:val="-1"/>
        </w:rPr>
        <w:t xml:space="preserve"> </w:t>
      </w:r>
      <w:r>
        <w:t>is in line with many</w:t>
      </w:r>
      <w:r>
        <w:rPr>
          <w:spacing w:val="-1"/>
        </w:rPr>
        <w:t xml:space="preserve"> </w:t>
      </w:r>
      <w:r>
        <w:t>other schemes,</w:t>
      </w:r>
      <w:r>
        <w:rPr>
          <w:spacing w:val="-2"/>
        </w:rPr>
        <w:t xml:space="preserve"> </w:t>
      </w:r>
      <w:r>
        <w:t>providing most information to</w:t>
      </w:r>
      <w:r>
        <w:rPr>
          <w:spacing w:val="-1"/>
        </w:rPr>
        <w:t xml:space="preserve"> </w:t>
      </w:r>
      <w:r>
        <w:t xml:space="preserve">members online. Members of the </w:t>
      </w:r>
      <w:r w:rsidR="00E27B3F">
        <w:t>Defined Contribution</w:t>
      </w:r>
      <w:r>
        <w:t xml:space="preserve"> section and members who hold AVC funds have online access to their accounts via the L&amp;G websites.</w:t>
      </w:r>
      <w:r>
        <w:rPr>
          <w:spacing w:val="40"/>
        </w:rPr>
        <w:t xml:space="preserve"> </w:t>
      </w:r>
      <w:r>
        <w:t xml:space="preserve">The L&amp;G website includes modelling tools and supporting information such as the member guide and investment guide for the </w:t>
      </w:r>
      <w:r w:rsidR="00E27B3F">
        <w:t>Defined Contribution</w:t>
      </w:r>
      <w:r>
        <w:t xml:space="preserve"> section and relevant sources of information are signposted</w:t>
      </w:r>
      <w:r>
        <w:rPr>
          <w:spacing w:val="-4"/>
        </w:rPr>
        <w:t xml:space="preserve"> </w:t>
      </w:r>
      <w:r>
        <w:t>to</w:t>
      </w:r>
      <w:r>
        <w:rPr>
          <w:spacing w:val="-6"/>
        </w:rPr>
        <w:t xml:space="preserve"> </w:t>
      </w:r>
      <w:r>
        <w:t>members.</w:t>
      </w:r>
      <w:r>
        <w:rPr>
          <w:spacing w:val="40"/>
        </w:rPr>
        <w:t xml:space="preserve"> </w:t>
      </w:r>
      <w:r>
        <w:t>In</w:t>
      </w:r>
      <w:r>
        <w:rPr>
          <w:spacing w:val="-4"/>
        </w:rPr>
        <w:t xml:space="preserve"> </w:t>
      </w:r>
      <w:r>
        <w:t>addition,</w:t>
      </w:r>
      <w:r>
        <w:rPr>
          <w:spacing w:val="-3"/>
        </w:rPr>
        <w:t xml:space="preserve"> </w:t>
      </w:r>
      <w:r>
        <w:t>L&amp;G</w:t>
      </w:r>
      <w:r>
        <w:rPr>
          <w:spacing w:val="-5"/>
        </w:rPr>
        <w:t xml:space="preserve"> </w:t>
      </w:r>
      <w:r w:rsidR="001E0A20">
        <w:t>has</w:t>
      </w:r>
      <w:r>
        <w:rPr>
          <w:spacing w:val="-2"/>
        </w:rPr>
        <w:t xml:space="preserve"> </w:t>
      </w:r>
      <w:r>
        <w:t>an</w:t>
      </w:r>
      <w:r>
        <w:rPr>
          <w:spacing w:val="-4"/>
        </w:rPr>
        <w:t xml:space="preserve"> </w:t>
      </w:r>
      <w:r>
        <w:t>app</w:t>
      </w:r>
      <w:r>
        <w:rPr>
          <w:spacing w:val="-6"/>
        </w:rPr>
        <w:t xml:space="preserve"> </w:t>
      </w:r>
      <w:r>
        <w:t>for</w:t>
      </w:r>
      <w:r>
        <w:rPr>
          <w:spacing w:val="-6"/>
        </w:rPr>
        <w:t xml:space="preserve"> </w:t>
      </w:r>
      <w:r>
        <w:t>members</w:t>
      </w:r>
      <w:r>
        <w:rPr>
          <w:spacing w:val="-3"/>
        </w:rPr>
        <w:t xml:space="preserve"> </w:t>
      </w:r>
      <w:r>
        <w:t>to</w:t>
      </w:r>
      <w:r>
        <w:rPr>
          <w:spacing w:val="-6"/>
        </w:rPr>
        <w:t xml:space="preserve"> </w:t>
      </w:r>
      <w:r>
        <w:t>have</w:t>
      </w:r>
      <w:r>
        <w:rPr>
          <w:spacing w:val="-4"/>
        </w:rPr>
        <w:t xml:space="preserve"> </w:t>
      </w:r>
      <w:r>
        <w:t xml:space="preserve">additional online access as well as their secure online access website. L&amp;G also provides a helpline to members of the </w:t>
      </w:r>
      <w:r w:rsidR="00E27B3F">
        <w:t>Defined Contribution</w:t>
      </w:r>
      <w:r>
        <w:t xml:space="preserve"> section.</w:t>
      </w:r>
    </w:p>
    <w:p w14:paraId="49A4DACF" w14:textId="1F8D7C96" w:rsidR="001E0A20" w:rsidRDefault="001E0A20">
      <w:pPr>
        <w:pStyle w:val="BodyText"/>
        <w:spacing w:before="252"/>
        <w:ind w:left="199" w:right="551"/>
        <w:jc w:val="both"/>
      </w:pPr>
      <w:r>
        <w:t xml:space="preserve">The Trustee held webinars for active members of the DC section when L&amp;G was appointed and also after members’ investments were transferred from Aegon to L&amp;G.  Over 550 active </w:t>
      </w:r>
      <w:r w:rsidRPr="007D41ED">
        <w:t xml:space="preserve">members </w:t>
      </w:r>
      <w:r w:rsidR="00AC63E7" w:rsidRPr="007D41ED">
        <w:t>(c</w:t>
      </w:r>
      <w:r w:rsidR="007D41ED" w:rsidRPr="007D41ED">
        <w:t>47</w:t>
      </w:r>
      <w:r w:rsidR="00AC63E7" w:rsidRPr="007D41ED">
        <w:t>% of active</w:t>
      </w:r>
      <w:r w:rsidR="00AC63E7">
        <w:t xml:space="preserve"> members) </w:t>
      </w:r>
      <w:r>
        <w:t xml:space="preserve">attended the later webinars. </w:t>
      </w:r>
    </w:p>
    <w:p w14:paraId="533F5EA1" w14:textId="77777777" w:rsidR="00AB3475" w:rsidRDefault="00AB3475">
      <w:pPr>
        <w:pStyle w:val="BodyText"/>
      </w:pPr>
    </w:p>
    <w:p w14:paraId="533F5EA2" w14:textId="4D43765B" w:rsidR="00AB3475" w:rsidRDefault="00A853B3">
      <w:pPr>
        <w:pStyle w:val="Heading2"/>
        <w:ind w:right="556"/>
        <w:jc w:val="both"/>
      </w:pPr>
      <w:r>
        <w:t xml:space="preserve">The Trustee concluded that </w:t>
      </w:r>
      <w:r w:rsidR="003B29DD">
        <w:t>the Fund</w:t>
      </w:r>
      <w:r>
        <w:t xml:space="preserve">'s communications </w:t>
      </w:r>
      <w:r w:rsidR="00823D05">
        <w:t xml:space="preserve">available to members were appropriate and the level of engagement from active members is high. </w:t>
      </w:r>
    </w:p>
    <w:p w14:paraId="533F5EA3" w14:textId="77777777" w:rsidR="00AB3475" w:rsidRDefault="00AB3475">
      <w:pPr>
        <w:pStyle w:val="BodyText"/>
        <w:spacing w:before="1"/>
        <w:rPr>
          <w:b/>
        </w:rPr>
      </w:pPr>
    </w:p>
    <w:p w14:paraId="533F5EA4" w14:textId="3A4F144E" w:rsidR="00AB3475" w:rsidRPr="00D31E7C" w:rsidRDefault="00A853B3" w:rsidP="00D31E7C">
      <w:pPr>
        <w:pStyle w:val="ListParagraph"/>
        <w:numPr>
          <w:ilvl w:val="1"/>
          <w:numId w:val="24"/>
        </w:numPr>
        <w:tabs>
          <w:tab w:val="left" w:pos="624"/>
        </w:tabs>
        <w:rPr>
          <w:b/>
        </w:rPr>
      </w:pPr>
      <w:r w:rsidRPr="00D31E7C">
        <w:rPr>
          <w:b/>
          <w:spacing w:val="-2"/>
        </w:rPr>
        <w:t>Retirement</w:t>
      </w:r>
      <w:r w:rsidRPr="00D31E7C">
        <w:rPr>
          <w:b/>
          <w:spacing w:val="-11"/>
        </w:rPr>
        <w:t xml:space="preserve"> </w:t>
      </w:r>
      <w:r w:rsidRPr="00D31E7C">
        <w:rPr>
          <w:b/>
          <w:spacing w:val="-2"/>
        </w:rPr>
        <w:t>support</w:t>
      </w:r>
    </w:p>
    <w:p w14:paraId="533F5EA5" w14:textId="77777777" w:rsidR="00AB3475" w:rsidRDefault="00A853B3">
      <w:pPr>
        <w:pStyle w:val="BodyText"/>
        <w:spacing w:before="242"/>
        <w:ind w:left="199" w:right="555"/>
        <w:jc w:val="both"/>
      </w:pPr>
      <w:r>
        <w:t>The</w:t>
      </w:r>
      <w:r>
        <w:rPr>
          <w:spacing w:val="-16"/>
        </w:rPr>
        <w:t xml:space="preserve"> </w:t>
      </w:r>
      <w:r>
        <w:t>Trustee</w:t>
      </w:r>
      <w:r>
        <w:rPr>
          <w:spacing w:val="-15"/>
        </w:rPr>
        <w:t xml:space="preserve"> </w:t>
      </w:r>
      <w:r>
        <w:t>believes</w:t>
      </w:r>
      <w:r>
        <w:rPr>
          <w:spacing w:val="-11"/>
        </w:rPr>
        <w:t xml:space="preserve"> </w:t>
      </w:r>
      <w:r>
        <w:t>that</w:t>
      </w:r>
      <w:r>
        <w:rPr>
          <w:spacing w:val="-12"/>
        </w:rPr>
        <w:t xml:space="preserve"> </w:t>
      </w:r>
      <w:r>
        <w:t>retirement</w:t>
      </w:r>
      <w:r>
        <w:rPr>
          <w:spacing w:val="-12"/>
        </w:rPr>
        <w:t xml:space="preserve"> </w:t>
      </w:r>
      <w:r>
        <w:t>processes</w:t>
      </w:r>
      <w:r>
        <w:rPr>
          <w:spacing w:val="-16"/>
        </w:rPr>
        <w:t xml:space="preserve"> </w:t>
      </w:r>
      <w:r>
        <w:t>that</w:t>
      </w:r>
      <w:r>
        <w:rPr>
          <w:spacing w:val="-10"/>
        </w:rPr>
        <w:t xml:space="preserve"> </w:t>
      </w:r>
      <w:r>
        <w:t>enable</w:t>
      </w:r>
      <w:r>
        <w:rPr>
          <w:spacing w:val="-16"/>
        </w:rPr>
        <w:t xml:space="preserve"> </w:t>
      </w:r>
      <w:r>
        <w:t>members</w:t>
      </w:r>
      <w:r>
        <w:rPr>
          <w:spacing w:val="-13"/>
        </w:rPr>
        <w:t xml:space="preserve"> </w:t>
      </w:r>
      <w:r>
        <w:t>to</w:t>
      </w:r>
      <w:r>
        <w:rPr>
          <w:spacing w:val="-16"/>
        </w:rPr>
        <w:t xml:space="preserve"> </w:t>
      </w:r>
      <w:r>
        <w:t>make</w:t>
      </w:r>
      <w:r>
        <w:rPr>
          <w:spacing w:val="-11"/>
        </w:rPr>
        <w:t xml:space="preserve"> </w:t>
      </w:r>
      <w:r>
        <w:t>informed</w:t>
      </w:r>
      <w:r>
        <w:rPr>
          <w:spacing w:val="-14"/>
        </w:rPr>
        <w:t xml:space="preserve"> </w:t>
      </w:r>
      <w:r>
        <w:t>decisions and</w:t>
      </w:r>
      <w:r>
        <w:rPr>
          <w:spacing w:val="-3"/>
        </w:rPr>
        <w:t xml:space="preserve"> </w:t>
      </w:r>
      <w:r>
        <w:t>select</w:t>
      </w:r>
      <w:r>
        <w:rPr>
          <w:spacing w:val="-2"/>
        </w:rPr>
        <w:t xml:space="preserve"> </w:t>
      </w:r>
      <w:r>
        <w:t>appropriate</w:t>
      </w:r>
      <w:r>
        <w:rPr>
          <w:spacing w:val="-2"/>
        </w:rPr>
        <w:t xml:space="preserve"> </w:t>
      </w:r>
      <w:r>
        <w:t>option(s)</w:t>
      </w:r>
      <w:r>
        <w:rPr>
          <w:spacing w:val="-2"/>
        </w:rPr>
        <w:t xml:space="preserve"> </w:t>
      </w:r>
      <w:r>
        <w:t>at</w:t>
      </w:r>
      <w:r>
        <w:rPr>
          <w:spacing w:val="-4"/>
        </w:rPr>
        <w:t xml:space="preserve"> </w:t>
      </w:r>
      <w:r>
        <w:t>retirement help</w:t>
      </w:r>
      <w:r>
        <w:rPr>
          <w:spacing w:val="-3"/>
        </w:rPr>
        <w:t xml:space="preserve"> </w:t>
      </w:r>
      <w:r>
        <w:t>members</w:t>
      </w:r>
      <w:r>
        <w:rPr>
          <w:spacing w:val="-2"/>
        </w:rPr>
        <w:t xml:space="preserve"> </w:t>
      </w:r>
      <w:r>
        <w:t>understand</w:t>
      </w:r>
      <w:r>
        <w:rPr>
          <w:spacing w:val="-3"/>
        </w:rPr>
        <w:t xml:space="preserve"> </w:t>
      </w:r>
      <w:r>
        <w:t>and</w:t>
      </w:r>
      <w:r>
        <w:rPr>
          <w:spacing w:val="-3"/>
        </w:rPr>
        <w:t xml:space="preserve"> </w:t>
      </w:r>
      <w:r>
        <w:t>improve</w:t>
      </w:r>
      <w:r>
        <w:rPr>
          <w:spacing w:val="-3"/>
        </w:rPr>
        <w:t xml:space="preserve"> </w:t>
      </w:r>
      <w:r>
        <w:t xml:space="preserve">retirement </w:t>
      </w:r>
      <w:r>
        <w:rPr>
          <w:spacing w:val="-2"/>
        </w:rPr>
        <w:t>outcomes.</w:t>
      </w:r>
    </w:p>
    <w:p w14:paraId="533F5EA6" w14:textId="1537B2FE" w:rsidR="00AB3475" w:rsidRDefault="00A853B3">
      <w:pPr>
        <w:pStyle w:val="BodyText"/>
        <w:spacing w:before="251"/>
        <w:ind w:left="199" w:right="555"/>
        <w:jc w:val="both"/>
      </w:pPr>
      <w:r>
        <w:t xml:space="preserve">The </w:t>
      </w:r>
      <w:r w:rsidR="00E27B3F">
        <w:t>Defined Contribution</w:t>
      </w:r>
      <w:r>
        <w:t xml:space="preserve"> section allows members to access their funds as an </w:t>
      </w:r>
      <w:proofErr w:type="spellStart"/>
      <w:r>
        <w:t>uncrystallised</w:t>
      </w:r>
      <w:proofErr w:type="spellEnd"/>
      <w:r>
        <w:t xml:space="preserve"> fund pension lump sum (i.e. cash) or to take their entitlement to tax-free cash and use the remainder to buy an annuity.</w:t>
      </w:r>
      <w:r>
        <w:rPr>
          <w:spacing w:val="40"/>
        </w:rPr>
        <w:t xml:space="preserve"> </w:t>
      </w:r>
      <w:r>
        <w:t xml:space="preserve">Members also have the opportunity to transfer their DC funds out of </w:t>
      </w:r>
      <w:r w:rsidR="003B29DD">
        <w:t>the Fund</w:t>
      </w:r>
      <w:r>
        <w:t xml:space="preserve"> to a suitable arrangement, if they wish to draw income directly from their fund.</w:t>
      </w:r>
      <w:r w:rsidR="005D0C98">
        <w:t xml:space="preserve"> For members considering taking flexible income the Trustee has signposted the availability of the L&amp;G </w:t>
      </w:r>
      <w:proofErr w:type="spellStart"/>
      <w:r w:rsidR="005D0C98">
        <w:t>WorkSave</w:t>
      </w:r>
      <w:proofErr w:type="spellEnd"/>
      <w:r w:rsidR="005D0C98">
        <w:t xml:space="preserve"> </w:t>
      </w:r>
      <w:proofErr w:type="spellStart"/>
      <w:r w:rsidR="005D0C98">
        <w:t>Mastertrust</w:t>
      </w:r>
      <w:proofErr w:type="spellEnd"/>
      <w:r w:rsidR="005D0C98">
        <w:t xml:space="preserve"> Pension Access. </w:t>
      </w:r>
    </w:p>
    <w:p w14:paraId="533F5EA8" w14:textId="6E588B47" w:rsidR="00AB3475" w:rsidRDefault="00A853B3">
      <w:pPr>
        <w:pStyle w:val="BodyText"/>
        <w:spacing w:before="252"/>
        <w:ind w:left="199" w:right="555"/>
        <w:jc w:val="both"/>
      </w:pPr>
      <w:r>
        <w:t>Members</w:t>
      </w:r>
      <w:r>
        <w:rPr>
          <w:spacing w:val="-16"/>
        </w:rPr>
        <w:t xml:space="preserve"> </w:t>
      </w:r>
      <w:r>
        <w:t>of</w:t>
      </w:r>
      <w:r>
        <w:rPr>
          <w:spacing w:val="-15"/>
        </w:rPr>
        <w:t xml:space="preserve"> </w:t>
      </w:r>
      <w:r>
        <w:t>the</w:t>
      </w:r>
      <w:r>
        <w:rPr>
          <w:spacing w:val="-15"/>
        </w:rPr>
        <w:t xml:space="preserve"> </w:t>
      </w:r>
      <w:r w:rsidR="00E27B3F">
        <w:t>Defined Contribution</w:t>
      </w:r>
      <w:r>
        <w:rPr>
          <w:spacing w:val="-15"/>
        </w:rPr>
        <w:t xml:space="preserve"> </w:t>
      </w:r>
      <w:r>
        <w:t>section</w:t>
      </w:r>
      <w:r>
        <w:rPr>
          <w:spacing w:val="-15"/>
        </w:rPr>
        <w:t xml:space="preserve"> </w:t>
      </w:r>
      <w:r>
        <w:t>have</w:t>
      </w:r>
      <w:r>
        <w:rPr>
          <w:spacing w:val="-15"/>
        </w:rPr>
        <w:t xml:space="preserve"> </w:t>
      </w:r>
      <w:r>
        <w:t>access</w:t>
      </w:r>
      <w:r>
        <w:rPr>
          <w:spacing w:val="-16"/>
        </w:rPr>
        <w:t xml:space="preserve"> </w:t>
      </w:r>
      <w:r>
        <w:t>to</w:t>
      </w:r>
      <w:r>
        <w:rPr>
          <w:spacing w:val="-15"/>
        </w:rPr>
        <w:t xml:space="preserve"> </w:t>
      </w:r>
      <w:r>
        <w:t>L&amp;G’s</w:t>
      </w:r>
      <w:r>
        <w:rPr>
          <w:spacing w:val="-15"/>
        </w:rPr>
        <w:t xml:space="preserve"> </w:t>
      </w:r>
      <w:r>
        <w:t>scheme-specific</w:t>
      </w:r>
      <w:r>
        <w:rPr>
          <w:spacing w:val="-16"/>
        </w:rPr>
        <w:t xml:space="preserve"> </w:t>
      </w:r>
      <w:r>
        <w:t>website,</w:t>
      </w:r>
      <w:r>
        <w:rPr>
          <w:spacing w:val="-14"/>
        </w:rPr>
        <w:t xml:space="preserve"> </w:t>
      </w:r>
      <w:r>
        <w:t>which includes financial planning education materials and tools to support retirement decision making.</w:t>
      </w:r>
    </w:p>
    <w:p w14:paraId="533F5EA9" w14:textId="77777777" w:rsidR="00AB3475" w:rsidRDefault="00AB3475">
      <w:pPr>
        <w:pStyle w:val="BodyText"/>
      </w:pPr>
    </w:p>
    <w:p w14:paraId="533F5EAA" w14:textId="5AD2B1D7" w:rsidR="00AB3475" w:rsidRDefault="003B29DD">
      <w:pPr>
        <w:pStyle w:val="BodyText"/>
        <w:spacing w:before="1"/>
        <w:ind w:left="199" w:right="555"/>
        <w:jc w:val="both"/>
      </w:pPr>
      <w:r>
        <w:t xml:space="preserve">The Fund allows defined benefit section members with AVCs to use their AVCs as the first source of </w:t>
      </w:r>
      <w:r w:rsidR="00EE610A">
        <w:t>tax-free</w:t>
      </w:r>
      <w:r>
        <w:t xml:space="preserve"> cash from the Fund rather than having to commute defined</w:t>
      </w:r>
      <w:r>
        <w:rPr>
          <w:spacing w:val="-7"/>
        </w:rPr>
        <w:t xml:space="preserve"> </w:t>
      </w:r>
      <w:r>
        <w:t>benefit</w:t>
      </w:r>
      <w:r>
        <w:rPr>
          <w:spacing w:val="-6"/>
        </w:rPr>
        <w:t xml:space="preserve"> </w:t>
      </w:r>
      <w:r>
        <w:t>pension.</w:t>
      </w:r>
      <w:r>
        <w:rPr>
          <w:spacing w:val="40"/>
        </w:rPr>
        <w:t xml:space="preserve"> </w:t>
      </w:r>
      <w:r>
        <w:t>The</w:t>
      </w:r>
      <w:r>
        <w:rPr>
          <w:spacing w:val="-12"/>
        </w:rPr>
        <w:t xml:space="preserve"> </w:t>
      </w:r>
      <w:r>
        <w:t>Trustee</w:t>
      </w:r>
      <w:r>
        <w:rPr>
          <w:spacing w:val="-9"/>
        </w:rPr>
        <w:t xml:space="preserve"> </w:t>
      </w:r>
      <w:r>
        <w:t>believes</w:t>
      </w:r>
      <w:r>
        <w:rPr>
          <w:spacing w:val="-7"/>
        </w:rPr>
        <w:t xml:space="preserve"> </w:t>
      </w:r>
      <w:r>
        <w:t>this</w:t>
      </w:r>
      <w:r>
        <w:rPr>
          <w:spacing w:val="-7"/>
        </w:rPr>
        <w:t xml:space="preserve"> </w:t>
      </w:r>
      <w:r>
        <w:t>option</w:t>
      </w:r>
      <w:r>
        <w:rPr>
          <w:spacing w:val="-10"/>
        </w:rPr>
        <w:t xml:space="preserve"> </w:t>
      </w:r>
      <w:r>
        <w:t>is</w:t>
      </w:r>
      <w:r>
        <w:rPr>
          <w:spacing w:val="-7"/>
        </w:rPr>
        <w:t xml:space="preserve"> </w:t>
      </w:r>
      <w:r>
        <w:t>valued</w:t>
      </w:r>
      <w:r>
        <w:rPr>
          <w:spacing w:val="-7"/>
        </w:rPr>
        <w:t xml:space="preserve"> </w:t>
      </w:r>
      <w:r>
        <w:t>highly</w:t>
      </w:r>
      <w:r>
        <w:rPr>
          <w:spacing w:val="-9"/>
        </w:rPr>
        <w:t xml:space="preserve"> </w:t>
      </w:r>
      <w:r>
        <w:t>by</w:t>
      </w:r>
      <w:r>
        <w:rPr>
          <w:spacing w:val="-9"/>
        </w:rPr>
        <w:t xml:space="preserve"> </w:t>
      </w:r>
      <w:r>
        <w:t>members</w:t>
      </w:r>
      <w:r>
        <w:rPr>
          <w:spacing w:val="-7"/>
        </w:rPr>
        <w:t xml:space="preserve"> </w:t>
      </w:r>
      <w:r>
        <w:t>who</w:t>
      </w:r>
      <w:r>
        <w:rPr>
          <w:spacing w:val="-8"/>
        </w:rPr>
        <w:t xml:space="preserve"> </w:t>
      </w:r>
      <w:r>
        <w:t>have made</w:t>
      </w:r>
      <w:r>
        <w:rPr>
          <w:spacing w:val="-10"/>
        </w:rPr>
        <w:t xml:space="preserve"> </w:t>
      </w:r>
      <w:r>
        <w:t>AVCs.</w:t>
      </w:r>
      <w:r>
        <w:rPr>
          <w:spacing w:val="39"/>
        </w:rPr>
        <w:t xml:space="preserve"> </w:t>
      </w:r>
      <w:r>
        <w:t>Pre-retirement</w:t>
      </w:r>
      <w:r>
        <w:rPr>
          <w:spacing w:val="-11"/>
        </w:rPr>
        <w:t xml:space="preserve"> </w:t>
      </w:r>
      <w:r>
        <w:t>communications</w:t>
      </w:r>
      <w:r>
        <w:rPr>
          <w:spacing w:val="-10"/>
        </w:rPr>
        <w:t xml:space="preserve"> </w:t>
      </w:r>
      <w:r>
        <w:t>clearly</w:t>
      </w:r>
      <w:r>
        <w:rPr>
          <w:spacing w:val="-12"/>
        </w:rPr>
        <w:t xml:space="preserve"> </w:t>
      </w:r>
      <w:r>
        <w:t>set</w:t>
      </w:r>
      <w:r>
        <w:rPr>
          <w:spacing w:val="-11"/>
        </w:rPr>
        <w:t xml:space="preserve"> </w:t>
      </w:r>
      <w:r>
        <w:t>out the</w:t>
      </w:r>
      <w:r>
        <w:rPr>
          <w:spacing w:val="-1"/>
        </w:rPr>
        <w:t xml:space="preserve"> </w:t>
      </w:r>
      <w:r>
        <w:t>options available to</w:t>
      </w:r>
      <w:r>
        <w:rPr>
          <w:spacing w:val="-3"/>
        </w:rPr>
        <w:t xml:space="preserve"> </w:t>
      </w:r>
      <w:r>
        <w:t>members</w:t>
      </w:r>
      <w:r>
        <w:rPr>
          <w:spacing w:val="-2"/>
        </w:rPr>
        <w:t xml:space="preserve"> </w:t>
      </w:r>
      <w:r>
        <w:t>(i.e. standard</w:t>
      </w:r>
      <w:r>
        <w:rPr>
          <w:spacing w:val="-3"/>
        </w:rPr>
        <w:t xml:space="preserve"> </w:t>
      </w:r>
      <w:r>
        <w:t>benefit option,</w:t>
      </w:r>
      <w:r>
        <w:rPr>
          <w:spacing w:val="-1"/>
        </w:rPr>
        <w:t xml:space="preserve"> </w:t>
      </w:r>
      <w:r>
        <w:t>maximum</w:t>
      </w:r>
      <w:r>
        <w:rPr>
          <w:spacing w:val="-2"/>
        </w:rPr>
        <w:t xml:space="preserve"> </w:t>
      </w:r>
      <w:r>
        <w:t>cash</w:t>
      </w:r>
      <w:r>
        <w:rPr>
          <w:spacing w:val="-1"/>
        </w:rPr>
        <w:t xml:space="preserve"> </w:t>
      </w:r>
      <w:r>
        <w:t>option</w:t>
      </w:r>
      <w:r>
        <w:rPr>
          <w:spacing w:val="-1"/>
        </w:rPr>
        <w:t xml:space="preserve"> </w:t>
      </w:r>
      <w:r>
        <w:t xml:space="preserve">or no cash </w:t>
      </w:r>
      <w:r>
        <w:rPr>
          <w:spacing w:val="-2"/>
        </w:rPr>
        <w:t>option).</w:t>
      </w:r>
    </w:p>
    <w:p w14:paraId="533F5EAB" w14:textId="77777777" w:rsidR="00AB3475" w:rsidRDefault="00AB3475">
      <w:pPr>
        <w:pStyle w:val="BodyText"/>
      </w:pPr>
    </w:p>
    <w:p w14:paraId="533F5EAF" w14:textId="16C90D26" w:rsidR="00AB3475" w:rsidRDefault="00A853B3" w:rsidP="008E164A">
      <w:pPr>
        <w:pStyle w:val="Heading2"/>
        <w:ind w:right="552"/>
        <w:jc w:val="both"/>
        <w:rPr>
          <w:b w:val="0"/>
        </w:rPr>
      </w:pPr>
      <w:r>
        <w:t xml:space="preserve">The Trustee has concluded that the retirement options available to members are appropriate for </w:t>
      </w:r>
      <w:r w:rsidR="003B29DD">
        <w:t>the Fund</w:t>
      </w:r>
      <w:r>
        <w:t>’s current DC membership and in line with those currently offered by similar schemes.</w:t>
      </w:r>
      <w:r>
        <w:rPr>
          <w:spacing w:val="40"/>
        </w:rPr>
        <w:t xml:space="preserve"> </w:t>
      </w:r>
    </w:p>
    <w:p w14:paraId="533F5EB0" w14:textId="77777777" w:rsidR="00AB3475" w:rsidRDefault="00AB3475">
      <w:pPr>
        <w:pStyle w:val="BodyText"/>
        <w:spacing w:before="1"/>
        <w:rPr>
          <w:b/>
        </w:rPr>
      </w:pPr>
    </w:p>
    <w:p w14:paraId="533F5EB1" w14:textId="6717FCD6" w:rsidR="00AB3475" w:rsidRDefault="00A853B3">
      <w:pPr>
        <w:spacing w:before="1"/>
        <w:ind w:left="199" w:right="553"/>
        <w:jc w:val="both"/>
        <w:rPr>
          <w:b/>
          <w:i/>
        </w:rPr>
      </w:pPr>
      <w:r>
        <w:rPr>
          <w:b/>
          <w:i/>
        </w:rPr>
        <w:t>The Trustee's assessment for the year ended 31 March 20</w:t>
      </w:r>
      <w:r w:rsidR="007E7B07">
        <w:rPr>
          <w:b/>
          <w:i/>
        </w:rPr>
        <w:t>25</w:t>
      </w:r>
      <w:r>
        <w:rPr>
          <w:b/>
          <w:i/>
        </w:rPr>
        <w:t xml:space="preserve"> concluded that the charges and transaction costs borne by members of the </w:t>
      </w:r>
      <w:r w:rsidR="00E27B3F">
        <w:rPr>
          <w:b/>
          <w:i/>
        </w:rPr>
        <w:t>Defined Contribution</w:t>
      </w:r>
      <w:r>
        <w:rPr>
          <w:b/>
          <w:i/>
        </w:rPr>
        <w:t xml:space="preserve"> section</w:t>
      </w:r>
      <w:r w:rsidR="007E7B07">
        <w:rPr>
          <w:b/>
          <w:i/>
        </w:rPr>
        <w:t xml:space="preserve"> and </w:t>
      </w:r>
      <w:r>
        <w:rPr>
          <w:b/>
          <w:i/>
        </w:rPr>
        <w:t xml:space="preserve">AVCs represented good value for members, taking account of the benefits of </w:t>
      </w:r>
      <w:r w:rsidR="007E7B07">
        <w:rPr>
          <w:b/>
          <w:i/>
        </w:rPr>
        <w:t>Fun</w:t>
      </w:r>
      <w:r w:rsidR="001E61E5">
        <w:rPr>
          <w:b/>
          <w:i/>
        </w:rPr>
        <w:t>d</w:t>
      </w:r>
      <w:r>
        <w:rPr>
          <w:b/>
          <w:i/>
        </w:rPr>
        <w:t xml:space="preserve"> membership.</w:t>
      </w:r>
    </w:p>
    <w:p w14:paraId="533F5EB2" w14:textId="77777777" w:rsidR="00AB3475" w:rsidRDefault="00A853B3" w:rsidP="00372A58">
      <w:pPr>
        <w:pStyle w:val="Heading1"/>
        <w:numPr>
          <w:ilvl w:val="0"/>
          <w:numId w:val="19"/>
        </w:numPr>
        <w:tabs>
          <w:tab w:val="left" w:pos="765"/>
        </w:tabs>
        <w:spacing w:before="253"/>
        <w:ind w:left="765" w:hanging="566"/>
      </w:pPr>
      <w:r>
        <w:t>TRUSTEE</w:t>
      </w:r>
      <w:r>
        <w:rPr>
          <w:spacing w:val="-9"/>
        </w:rPr>
        <w:t xml:space="preserve"> </w:t>
      </w:r>
      <w:r>
        <w:t>KNOWLEDGE</w:t>
      </w:r>
      <w:r>
        <w:rPr>
          <w:spacing w:val="-6"/>
        </w:rPr>
        <w:t xml:space="preserve"> </w:t>
      </w:r>
      <w:r>
        <w:t>AND</w:t>
      </w:r>
      <w:r>
        <w:rPr>
          <w:spacing w:val="-8"/>
        </w:rPr>
        <w:t xml:space="preserve"> </w:t>
      </w:r>
      <w:r>
        <w:rPr>
          <w:spacing w:val="-2"/>
        </w:rPr>
        <w:t>UNDERSTANDING</w:t>
      </w:r>
    </w:p>
    <w:p w14:paraId="533F5EB3" w14:textId="77777777" w:rsidR="00AB3475" w:rsidRDefault="00AB3475">
      <w:pPr>
        <w:pStyle w:val="BodyText"/>
        <w:spacing w:before="105"/>
        <w:rPr>
          <w:b/>
        </w:rPr>
      </w:pPr>
    </w:p>
    <w:p w14:paraId="533F5EB4" w14:textId="77777777" w:rsidR="00AB3475" w:rsidRDefault="00A853B3">
      <w:pPr>
        <w:pStyle w:val="BodyText"/>
        <w:spacing w:before="1"/>
        <w:ind w:left="199" w:right="560"/>
        <w:jc w:val="both"/>
      </w:pPr>
      <w:r>
        <w:t>Sections 247 and 248 of the Pensions Act 2004 set out the requirements for trustees to have appropriate knowledge and understanding. These requirements are considered in the Pension Regulator’s Code of Practice 7.</w:t>
      </w:r>
    </w:p>
    <w:p w14:paraId="533F5EB5" w14:textId="77777777" w:rsidR="00AB3475" w:rsidRDefault="00AB3475">
      <w:pPr>
        <w:pStyle w:val="BodyText"/>
        <w:spacing w:before="1"/>
      </w:pPr>
    </w:p>
    <w:p w14:paraId="533F5EB6" w14:textId="498921D9" w:rsidR="00AB3475" w:rsidRDefault="00A853B3">
      <w:pPr>
        <w:pStyle w:val="BodyText"/>
        <w:ind w:left="199"/>
        <w:jc w:val="both"/>
      </w:pPr>
      <w:r>
        <w:t>The</w:t>
      </w:r>
      <w:r>
        <w:rPr>
          <w:spacing w:val="-8"/>
        </w:rPr>
        <w:t xml:space="preserve"> </w:t>
      </w:r>
      <w:r>
        <w:t>comments</w:t>
      </w:r>
      <w:r>
        <w:rPr>
          <w:spacing w:val="-2"/>
        </w:rPr>
        <w:t xml:space="preserve"> </w:t>
      </w:r>
      <w:r>
        <w:t>in</w:t>
      </w:r>
      <w:r>
        <w:rPr>
          <w:spacing w:val="-5"/>
        </w:rPr>
        <w:t xml:space="preserve"> </w:t>
      </w:r>
      <w:r>
        <w:t>this</w:t>
      </w:r>
      <w:r>
        <w:rPr>
          <w:spacing w:val="-2"/>
        </w:rPr>
        <w:t xml:space="preserve"> </w:t>
      </w:r>
      <w:r>
        <w:t>section</w:t>
      </w:r>
      <w:r>
        <w:rPr>
          <w:spacing w:val="-4"/>
        </w:rPr>
        <w:t xml:space="preserve"> </w:t>
      </w:r>
      <w:r>
        <w:t>relate</w:t>
      </w:r>
      <w:r>
        <w:rPr>
          <w:spacing w:val="-5"/>
        </w:rPr>
        <w:t xml:space="preserve"> </w:t>
      </w:r>
      <w:r>
        <w:t>to</w:t>
      </w:r>
      <w:r>
        <w:rPr>
          <w:spacing w:val="-5"/>
        </w:rPr>
        <w:t xml:space="preserve"> </w:t>
      </w:r>
      <w:r w:rsidR="003B29DD">
        <w:t>the Fund</w:t>
      </w:r>
      <w:r>
        <w:rPr>
          <w:spacing w:val="-4"/>
        </w:rPr>
        <w:t xml:space="preserve"> </w:t>
      </w:r>
      <w:r>
        <w:t>as</w:t>
      </w:r>
      <w:r>
        <w:rPr>
          <w:spacing w:val="-2"/>
        </w:rPr>
        <w:t xml:space="preserve"> </w:t>
      </w:r>
      <w:r>
        <w:t>a</w:t>
      </w:r>
      <w:r>
        <w:rPr>
          <w:spacing w:val="-5"/>
        </w:rPr>
        <w:t xml:space="preserve"> </w:t>
      </w:r>
      <w:r>
        <w:t>whole</w:t>
      </w:r>
      <w:r>
        <w:rPr>
          <w:spacing w:val="-3"/>
        </w:rPr>
        <w:t xml:space="preserve"> </w:t>
      </w:r>
      <w:r>
        <w:t>and</w:t>
      </w:r>
      <w:r>
        <w:rPr>
          <w:spacing w:val="-4"/>
        </w:rPr>
        <w:t xml:space="preserve"> </w:t>
      </w:r>
      <w:r>
        <w:t>not</w:t>
      </w:r>
      <w:r>
        <w:rPr>
          <w:spacing w:val="-4"/>
        </w:rPr>
        <w:t xml:space="preserve"> </w:t>
      </w:r>
      <w:r>
        <w:t>solely</w:t>
      </w:r>
      <w:r>
        <w:rPr>
          <w:spacing w:val="-5"/>
        </w:rPr>
        <w:t xml:space="preserve"> </w:t>
      </w:r>
      <w:r>
        <w:t>the</w:t>
      </w:r>
      <w:r>
        <w:rPr>
          <w:spacing w:val="-3"/>
        </w:rPr>
        <w:t xml:space="preserve"> </w:t>
      </w:r>
      <w:r>
        <w:t>DC</w:t>
      </w:r>
      <w:r>
        <w:rPr>
          <w:spacing w:val="-3"/>
        </w:rPr>
        <w:t xml:space="preserve"> </w:t>
      </w:r>
      <w:r>
        <w:rPr>
          <w:spacing w:val="-2"/>
        </w:rPr>
        <w:t>Section.</w:t>
      </w:r>
    </w:p>
    <w:p w14:paraId="533F5EB7" w14:textId="77777777" w:rsidR="00AB3475" w:rsidRDefault="00A853B3">
      <w:pPr>
        <w:pStyle w:val="BodyText"/>
        <w:spacing w:before="239"/>
        <w:ind w:left="199" w:right="554"/>
        <w:jc w:val="both"/>
      </w:pPr>
      <w:r>
        <w:t>New</w:t>
      </w:r>
      <w:r>
        <w:rPr>
          <w:spacing w:val="-3"/>
        </w:rPr>
        <w:t xml:space="preserve"> </w:t>
      </w:r>
      <w:r>
        <w:t>Trustee Directors are required</w:t>
      </w:r>
      <w:r>
        <w:rPr>
          <w:spacing w:val="-4"/>
        </w:rPr>
        <w:t xml:space="preserve"> </w:t>
      </w:r>
      <w:r>
        <w:t>to</w:t>
      </w:r>
      <w:r>
        <w:rPr>
          <w:spacing w:val="-2"/>
        </w:rPr>
        <w:t xml:space="preserve"> </w:t>
      </w:r>
      <w:r>
        <w:t>complete</w:t>
      </w:r>
      <w:r>
        <w:rPr>
          <w:spacing w:val="-1"/>
        </w:rPr>
        <w:t xml:space="preserve"> </w:t>
      </w:r>
      <w:r>
        <w:t>a</w:t>
      </w:r>
      <w:r>
        <w:rPr>
          <w:spacing w:val="-4"/>
        </w:rPr>
        <w:t xml:space="preserve"> </w:t>
      </w:r>
      <w:r>
        <w:t>structured</w:t>
      </w:r>
      <w:r>
        <w:rPr>
          <w:spacing w:val="-2"/>
        </w:rPr>
        <w:t xml:space="preserve"> </w:t>
      </w:r>
      <w:r>
        <w:t xml:space="preserve">induction </w:t>
      </w:r>
      <w:proofErr w:type="spellStart"/>
      <w:r>
        <w:t>programme</w:t>
      </w:r>
      <w:proofErr w:type="spellEnd"/>
      <w:r>
        <w:rPr>
          <w:spacing w:val="-2"/>
        </w:rPr>
        <w:t xml:space="preserve"> </w:t>
      </w:r>
      <w:r>
        <w:t>before</w:t>
      </w:r>
      <w:r>
        <w:rPr>
          <w:spacing w:val="-2"/>
        </w:rPr>
        <w:t xml:space="preserve"> </w:t>
      </w:r>
      <w:r>
        <w:t>taking up office, which may include a period of acting as an observer.</w:t>
      </w:r>
      <w:r>
        <w:rPr>
          <w:spacing w:val="40"/>
        </w:rPr>
        <w:t xml:space="preserve"> </w:t>
      </w:r>
      <w:r>
        <w:t>Completion of the Pensions Regulator’s Trustee Toolkit forms part of that induction.</w:t>
      </w:r>
    </w:p>
    <w:p w14:paraId="2A058065" w14:textId="42BBA085" w:rsidR="009F5452" w:rsidRDefault="00A853B3" w:rsidP="009F5452">
      <w:pPr>
        <w:pStyle w:val="BodyText"/>
        <w:spacing w:before="240"/>
        <w:ind w:left="199" w:right="556"/>
        <w:jc w:val="both"/>
      </w:pPr>
      <w:r>
        <w:t>The Trustee Directors have put in place arrangements for ensuring that they take personal responsibility</w:t>
      </w:r>
      <w:r>
        <w:rPr>
          <w:spacing w:val="-12"/>
        </w:rPr>
        <w:t xml:space="preserve"> </w:t>
      </w:r>
      <w:r>
        <w:t>for</w:t>
      </w:r>
      <w:r>
        <w:rPr>
          <w:spacing w:val="-13"/>
        </w:rPr>
        <w:t xml:space="preserve"> </w:t>
      </w:r>
      <w:r>
        <w:t>keeping</w:t>
      </w:r>
      <w:r>
        <w:rPr>
          <w:spacing w:val="-10"/>
        </w:rPr>
        <w:t xml:space="preserve"> </w:t>
      </w:r>
      <w:r>
        <w:t>themselves</w:t>
      </w:r>
      <w:r>
        <w:rPr>
          <w:spacing w:val="-10"/>
        </w:rPr>
        <w:t xml:space="preserve"> </w:t>
      </w:r>
      <w:r>
        <w:t>up</w:t>
      </w:r>
      <w:r>
        <w:rPr>
          <w:spacing w:val="-13"/>
        </w:rPr>
        <w:t xml:space="preserve"> </w:t>
      </w:r>
      <w:r>
        <w:t>to</w:t>
      </w:r>
      <w:r>
        <w:rPr>
          <w:spacing w:val="-12"/>
        </w:rPr>
        <w:t xml:space="preserve"> </w:t>
      </w:r>
      <w:r>
        <w:t>date</w:t>
      </w:r>
      <w:r>
        <w:rPr>
          <w:spacing w:val="-10"/>
        </w:rPr>
        <w:t xml:space="preserve"> </w:t>
      </w:r>
      <w:r>
        <w:t>with</w:t>
      </w:r>
      <w:r>
        <w:rPr>
          <w:spacing w:val="-12"/>
        </w:rPr>
        <w:t xml:space="preserve"> </w:t>
      </w:r>
      <w:r>
        <w:t>relevant</w:t>
      </w:r>
      <w:r>
        <w:rPr>
          <w:spacing w:val="-8"/>
        </w:rPr>
        <w:t xml:space="preserve"> </w:t>
      </w:r>
      <w:r>
        <w:t>developments</w:t>
      </w:r>
      <w:r>
        <w:rPr>
          <w:spacing w:val="-12"/>
        </w:rPr>
        <w:t xml:space="preserve"> </w:t>
      </w:r>
      <w:r>
        <w:t>and</w:t>
      </w:r>
      <w:r>
        <w:rPr>
          <w:spacing w:val="-12"/>
        </w:rPr>
        <w:t xml:space="preserve"> </w:t>
      </w:r>
      <w:r>
        <w:t>review</w:t>
      </w:r>
      <w:r>
        <w:rPr>
          <w:spacing w:val="-13"/>
        </w:rPr>
        <w:t xml:space="preserve"> </w:t>
      </w:r>
      <w:r>
        <w:t>their</w:t>
      </w:r>
      <w:r>
        <w:rPr>
          <w:spacing w:val="-9"/>
        </w:rPr>
        <w:t xml:space="preserve"> </w:t>
      </w:r>
      <w:r>
        <w:t xml:space="preserve">own </w:t>
      </w:r>
      <w:r>
        <w:rPr>
          <w:spacing w:val="-2"/>
        </w:rPr>
        <w:t>training</w:t>
      </w:r>
      <w:r>
        <w:rPr>
          <w:spacing w:val="-3"/>
        </w:rPr>
        <w:t xml:space="preserve"> </w:t>
      </w:r>
      <w:r>
        <w:rPr>
          <w:spacing w:val="-2"/>
        </w:rPr>
        <w:t>needs.</w:t>
      </w:r>
      <w:r>
        <w:rPr>
          <w:spacing w:val="-7"/>
        </w:rPr>
        <w:t xml:space="preserve"> </w:t>
      </w:r>
      <w:r w:rsidR="003B29DD">
        <w:rPr>
          <w:spacing w:val="-2"/>
        </w:rPr>
        <w:t>The Scheme</w:t>
      </w:r>
      <w:r>
        <w:rPr>
          <w:spacing w:val="-7"/>
        </w:rPr>
        <w:t xml:space="preserve"> </w:t>
      </w:r>
      <w:r>
        <w:rPr>
          <w:spacing w:val="-2"/>
        </w:rPr>
        <w:t>Secretary,</w:t>
      </w:r>
      <w:r>
        <w:rPr>
          <w:spacing w:val="-5"/>
        </w:rPr>
        <w:t xml:space="preserve"> </w:t>
      </w:r>
      <w:r>
        <w:rPr>
          <w:spacing w:val="-2"/>
        </w:rPr>
        <w:t>with</w:t>
      </w:r>
      <w:r>
        <w:rPr>
          <w:spacing w:val="-3"/>
        </w:rPr>
        <w:t xml:space="preserve"> </w:t>
      </w:r>
      <w:r>
        <w:rPr>
          <w:spacing w:val="-2"/>
        </w:rPr>
        <w:t>the</w:t>
      </w:r>
      <w:r>
        <w:rPr>
          <w:spacing w:val="-7"/>
        </w:rPr>
        <w:t xml:space="preserve"> </w:t>
      </w:r>
      <w:r>
        <w:rPr>
          <w:spacing w:val="-2"/>
        </w:rPr>
        <w:t>help</w:t>
      </w:r>
      <w:r>
        <w:rPr>
          <w:spacing w:val="-3"/>
        </w:rPr>
        <w:t xml:space="preserve"> </w:t>
      </w:r>
      <w:r>
        <w:rPr>
          <w:spacing w:val="-2"/>
        </w:rPr>
        <w:t>of the</w:t>
      </w:r>
      <w:r>
        <w:rPr>
          <w:spacing w:val="-6"/>
        </w:rPr>
        <w:t xml:space="preserve"> </w:t>
      </w:r>
      <w:r>
        <w:rPr>
          <w:spacing w:val="-2"/>
        </w:rPr>
        <w:t>Trustee’s</w:t>
      </w:r>
      <w:r>
        <w:rPr>
          <w:spacing w:val="-3"/>
        </w:rPr>
        <w:t xml:space="preserve"> </w:t>
      </w:r>
      <w:r>
        <w:rPr>
          <w:spacing w:val="-2"/>
        </w:rPr>
        <w:t>advisers,</w:t>
      </w:r>
      <w:r>
        <w:rPr>
          <w:spacing w:val="-7"/>
        </w:rPr>
        <w:t xml:space="preserve"> </w:t>
      </w:r>
      <w:r>
        <w:rPr>
          <w:spacing w:val="-2"/>
        </w:rPr>
        <w:t>regularly</w:t>
      </w:r>
      <w:r>
        <w:rPr>
          <w:spacing w:val="-7"/>
        </w:rPr>
        <w:t xml:space="preserve"> </w:t>
      </w:r>
      <w:r>
        <w:rPr>
          <w:spacing w:val="-2"/>
        </w:rPr>
        <w:t xml:space="preserve">considers </w:t>
      </w:r>
      <w:r>
        <w:t>training requirements and arranges for training to be made available to individual Trustee Directors or to the whole Trustee body as appropriate.</w:t>
      </w:r>
      <w:r>
        <w:rPr>
          <w:spacing w:val="40"/>
        </w:rPr>
        <w:t xml:space="preserve"> </w:t>
      </w:r>
      <w:r>
        <w:t>Training is recorded in the Trustee Director’s training logs.</w:t>
      </w:r>
      <w:r>
        <w:rPr>
          <w:spacing w:val="40"/>
        </w:rPr>
        <w:t xml:space="preserve"> </w:t>
      </w:r>
      <w:r>
        <w:t xml:space="preserve">Trustee Directors have access to all </w:t>
      </w:r>
      <w:r w:rsidR="00F77832">
        <w:t>scheme</w:t>
      </w:r>
      <w:r>
        <w:t xml:space="preserve"> governance documents</w:t>
      </w:r>
      <w:r w:rsidR="00F77832">
        <w:t xml:space="preserve">, including the Trust Deed and Rules, </w:t>
      </w:r>
      <w:r>
        <w:t xml:space="preserve">and policies through </w:t>
      </w:r>
      <w:r w:rsidR="003B29DD">
        <w:t>the Fund</w:t>
      </w:r>
      <w:r>
        <w:t xml:space="preserve">’s </w:t>
      </w:r>
      <w:r w:rsidR="00F77832">
        <w:t xml:space="preserve">online governance </w:t>
      </w:r>
      <w:r>
        <w:t>site</w:t>
      </w:r>
      <w:r w:rsidR="00F77832">
        <w:t>, “Boards”.</w:t>
      </w:r>
      <w:r w:rsidR="009F5452">
        <w:t xml:space="preserve"> </w:t>
      </w:r>
      <w:r w:rsidR="00CA3267" w:rsidRPr="00CA3267">
        <w:t>The Trustees can refer to these during Board meetings. In particular, the Trustees refer to the Trust Deed and Rules as part of considering and deciding to make any changes to the Fund and, where relevant, deciding individual member cases.</w:t>
      </w:r>
    </w:p>
    <w:p w14:paraId="36A5353F" w14:textId="45E39280" w:rsidR="007B49A6" w:rsidRPr="00A23237" w:rsidRDefault="00C634CC" w:rsidP="009F5452">
      <w:pPr>
        <w:pStyle w:val="BodyText"/>
        <w:spacing w:before="240"/>
        <w:ind w:left="199" w:right="556"/>
        <w:jc w:val="both"/>
      </w:pPr>
      <w:r w:rsidRPr="00A23237">
        <w:t xml:space="preserve">The Trustee has met the requirement for knowledge and understanding through: </w:t>
      </w:r>
    </w:p>
    <w:p w14:paraId="1CDF5F84" w14:textId="0B3E5240" w:rsidR="009F5452" w:rsidRPr="00A23237" w:rsidRDefault="009F5452" w:rsidP="005F266A">
      <w:pPr>
        <w:pStyle w:val="BodyText"/>
        <w:numPr>
          <w:ilvl w:val="0"/>
          <w:numId w:val="28"/>
        </w:numPr>
        <w:spacing w:before="240"/>
        <w:ind w:right="556"/>
        <w:jc w:val="both"/>
      </w:pPr>
      <w:r w:rsidRPr="00A23237">
        <w:t xml:space="preserve">Maintaining an annual </w:t>
      </w:r>
      <w:proofErr w:type="spellStart"/>
      <w:r w:rsidRPr="00A23237">
        <w:t>programme</w:t>
      </w:r>
      <w:proofErr w:type="spellEnd"/>
      <w:r w:rsidRPr="00A23237">
        <w:t xml:space="preserve"> of bespoke Trustee training, which is delivered at a designated annual training day and within Trustee and sub-committee meetings where appropriate. The Trustees also had at the dedicated training session on </w:t>
      </w:r>
      <w:r w:rsidR="00BC5D54" w:rsidRPr="00A23237">
        <w:t>19</w:t>
      </w:r>
      <w:r w:rsidRPr="00A23237">
        <w:t xml:space="preserve"> June 202</w:t>
      </w:r>
      <w:r w:rsidR="00BC5D54" w:rsidRPr="00A23237">
        <w:t>4</w:t>
      </w:r>
      <w:r w:rsidR="00CA51E4" w:rsidRPr="00A23237">
        <w:t xml:space="preserve"> (details below) </w:t>
      </w:r>
    </w:p>
    <w:p w14:paraId="405FFAAF" w14:textId="5DC13367" w:rsidR="009F5452" w:rsidRPr="00A23237" w:rsidRDefault="009F5452" w:rsidP="009B2A0E">
      <w:pPr>
        <w:pStyle w:val="Default"/>
        <w:numPr>
          <w:ilvl w:val="0"/>
          <w:numId w:val="28"/>
        </w:numPr>
        <w:jc w:val="both"/>
        <w:rPr>
          <w:rFonts w:ascii="Arial" w:hAnsi="Arial" w:cs="Arial"/>
          <w:sz w:val="22"/>
          <w:szCs w:val="22"/>
        </w:rPr>
      </w:pPr>
      <w:r w:rsidRPr="00A23237">
        <w:rPr>
          <w:rFonts w:ascii="Arial" w:hAnsi="Arial" w:cs="Arial"/>
          <w:sz w:val="22"/>
          <w:szCs w:val="22"/>
        </w:rPr>
        <w:t xml:space="preserve">Attendance at appropriate external webinars and events. </w:t>
      </w:r>
    </w:p>
    <w:p w14:paraId="3D20DA19" w14:textId="23B21DB5" w:rsidR="009F5452" w:rsidRPr="00A23237" w:rsidRDefault="009F5452" w:rsidP="009B2A0E">
      <w:pPr>
        <w:pStyle w:val="Default"/>
        <w:numPr>
          <w:ilvl w:val="0"/>
          <w:numId w:val="28"/>
        </w:numPr>
        <w:ind w:right="526"/>
        <w:jc w:val="both"/>
        <w:rPr>
          <w:rFonts w:ascii="Arial" w:hAnsi="Arial" w:cs="Arial"/>
          <w:sz w:val="22"/>
          <w:szCs w:val="22"/>
        </w:rPr>
      </w:pPr>
      <w:r w:rsidRPr="00A23237">
        <w:rPr>
          <w:rFonts w:ascii="Arial" w:hAnsi="Arial" w:cs="Arial"/>
          <w:sz w:val="22"/>
          <w:szCs w:val="22"/>
        </w:rPr>
        <w:t xml:space="preserve">Receiving updates (via ad hoc emails and quarterly newsletters) from its advisers about matters relevant to the DC Section and Fund as a whole. Representatives from the Trustees’ actuaries, legal advisers and investment consultants attend all Trustee board meetings and are on hand to address any queries from the Trustees or explain the detail of potential issues. Additionally, representatives from the Trustees’ Actuaries and investment consultants attend all Investment </w:t>
      </w:r>
      <w:r w:rsidR="00C05D18" w:rsidRPr="00A23237">
        <w:rPr>
          <w:rFonts w:ascii="Arial" w:hAnsi="Arial" w:cs="Arial"/>
          <w:sz w:val="22"/>
          <w:szCs w:val="22"/>
        </w:rPr>
        <w:t>C</w:t>
      </w:r>
      <w:r w:rsidRPr="00A23237">
        <w:rPr>
          <w:rFonts w:ascii="Arial" w:hAnsi="Arial" w:cs="Arial"/>
          <w:sz w:val="22"/>
          <w:szCs w:val="22"/>
        </w:rPr>
        <w:t xml:space="preserve">ommittee meetings. </w:t>
      </w:r>
    </w:p>
    <w:p w14:paraId="305BD8B6" w14:textId="7534B281" w:rsidR="009F5452" w:rsidRPr="00A23237" w:rsidRDefault="009F5452" w:rsidP="009B2A0E">
      <w:pPr>
        <w:pStyle w:val="Default"/>
        <w:numPr>
          <w:ilvl w:val="0"/>
          <w:numId w:val="28"/>
        </w:numPr>
        <w:jc w:val="both"/>
        <w:rPr>
          <w:rFonts w:ascii="Arial" w:hAnsi="Arial" w:cs="Arial"/>
          <w:sz w:val="22"/>
          <w:szCs w:val="22"/>
        </w:rPr>
      </w:pPr>
      <w:r w:rsidRPr="00A23237">
        <w:rPr>
          <w:rFonts w:ascii="Arial" w:hAnsi="Arial" w:cs="Arial"/>
          <w:sz w:val="22"/>
          <w:szCs w:val="22"/>
        </w:rPr>
        <w:t xml:space="preserve">Carrying out periodic effectiveness self-assessment reviews. </w:t>
      </w:r>
    </w:p>
    <w:p w14:paraId="4E95799C" w14:textId="01B10284" w:rsidR="009F5452" w:rsidRPr="00A23237" w:rsidRDefault="009F5452" w:rsidP="009B2A0E">
      <w:pPr>
        <w:pStyle w:val="Default"/>
        <w:numPr>
          <w:ilvl w:val="0"/>
          <w:numId w:val="28"/>
        </w:numPr>
        <w:ind w:right="526"/>
        <w:jc w:val="both"/>
        <w:rPr>
          <w:rFonts w:ascii="Arial" w:hAnsi="Arial" w:cs="Arial"/>
          <w:sz w:val="22"/>
          <w:szCs w:val="22"/>
        </w:rPr>
      </w:pPr>
      <w:r w:rsidRPr="00A23237">
        <w:rPr>
          <w:rFonts w:ascii="Arial" w:hAnsi="Arial" w:cs="Arial"/>
          <w:sz w:val="22"/>
          <w:szCs w:val="22"/>
        </w:rPr>
        <w:t xml:space="preserve">As appropriate, completion of the relevant parts of the Pensions Regulator’s Trustee Toolkit. </w:t>
      </w:r>
    </w:p>
    <w:p w14:paraId="4104B944" w14:textId="77777777" w:rsidR="009F5452" w:rsidRPr="00A23237" w:rsidRDefault="009F5452" w:rsidP="009B2A0E">
      <w:pPr>
        <w:pStyle w:val="Default"/>
        <w:ind w:right="526"/>
        <w:jc w:val="both"/>
        <w:rPr>
          <w:sz w:val="22"/>
          <w:szCs w:val="22"/>
        </w:rPr>
      </w:pPr>
    </w:p>
    <w:p w14:paraId="3B01059E" w14:textId="2FCA9DC2" w:rsidR="009F5452" w:rsidRPr="00A23237" w:rsidRDefault="009F5452" w:rsidP="009B2A0E">
      <w:pPr>
        <w:pStyle w:val="BodyText"/>
        <w:spacing w:before="1"/>
        <w:ind w:left="199" w:right="526"/>
        <w:jc w:val="both"/>
      </w:pPr>
      <w:r w:rsidRPr="00A23237">
        <w:t xml:space="preserve">The Trustee Board contains a diverse range of experience and skills and includes an independent </w:t>
      </w:r>
      <w:r w:rsidR="00DC70F5">
        <w:t xml:space="preserve">professional </w:t>
      </w:r>
      <w:r w:rsidRPr="00A23237">
        <w:t>trustee. Their combined knowledge and understanding, together with advice and support from their professional advisers enables them to properly exercise their duties as Trustees. When appointing new Trustees any gaps in the skills and experience of the Trustee Board as a whole is taken into consideration as part of the selection process.</w:t>
      </w:r>
    </w:p>
    <w:p w14:paraId="72904897" w14:textId="77777777" w:rsidR="00891160" w:rsidRPr="00A23237" w:rsidRDefault="00891160" w:rsidP="009B2A0E">
      <w:pPr>
        <w:pStyle w:val="BodyText"/>
        <w:spacing w:before="1"/>
        <w:ind w:left="199" w:right="526"/>
      </w:pPr>
    </w:p>
    <w:p w14:paraId="533F5EBB" w14:textId="4BF94FBE" w:rsidR="00AB3475" w:rsidRDefault="00A853B3" w:rsidP="009B2A0E">
      <w:pPr>
        <w:pStyle w:val="BodyText"/>
        <w:spacing w:before="252"/>
        <w:ind w:left="199" w:right="526"/>
        <w:jc w:val="both"/>
      </w:pPr>
      <w:r>
        <w:t>During</w:t>
      </w:r>
      <w:r>
        <w:rPr>
          <w:spacing w:val="-2"/>
        </w:rPr>
        <w:t xml:space="preserve"> </w:t>
      </w:r>
      <w:r>
        <w:t>the</w:t>
      </w:r>
      <w:r>
        <w:rPr>
          <w:spacing w:val="-4"/>
        </w:rPr>
        <w:t xml:space="preserve"> </w:t>
      </w:r>
      <w:r>
        <w:t>period</w:t>
      </w:r>
      <w:r>
        <w:rPr>
          <w:spacing w:val="-4"/>
        </w:rPr>
        <w:t xml:space="preserve"> </w:t>
      </w:r>
      <w:r>
        <w:t>covered</w:t>
      </w:r>
      <w:r>
        <w:rPr>
          <w:spacing w:val="-2"/>
        </w:rPr>
        <w:t xml:space="preserve"> </w:t>
      </w:r>
      <w:r>
        <w:t>by</w:t>
      </w:r>
      <w:r>
        <w:rPr>
          <w:spacing w:val="-4"/>
        </w:rPr>
        <w:t xml:space="preserve"> </w:t>
      </w:r>
      <w:r>
        <w:t>this</w:t>
      </w:r>
      <w:r>
        <w:rPr>
          <w:spacing w:val="-4"/>
        </w:rPr>
        <w:t xml:space="preserve"> </w:t>
      </w:r>
      <w:r>
        <w:t>statement,</w:t>
      </w:r>
      <w:r>
        <w:rPr>
          <w:spacing w:val="-3"/>
        </w:rPr>
        <w:t xml:space="preserve"> </w:t>
      </w:r>
      <w:r>
        <w:t>the</w:t>
      </w:r>
      <w:r>
        <w:rPr>
          <w:spacing w:val="-7"/>
        </w:rPr>
        <w:t xml:space="preserve"> </w:t>
      </w:r>
      <w:r>
        <w:t>Trustee</w:t>
      </w:r>
      <w:r>
        <w:rPr>
          <w:spacing w:val="-4"/>
        </w:rPr>
        <w:t xml:space="preserve"> </w:t>
      </w:r>
      <w:r>
        <w:t>Directors</w:t>
      </w:r>
      <w:r w:rsidR="00A23237">
        <w:t xml:space="preserve">’ </w:t>
      </w:r>
      <w:r w:rsidR="00886E0F">
        <w:t>learning activities</w:t>
      </w:r>
      <w:r>
        <w:t xml:space="preserve"> included the following matters:</w:t>
      </w:r>
    </w:p>
    <w:p w14:paraId="533F5EBC" w14:textId="77777777" w:rsidR="00AB3475" w:rsidRDefault="00AB3475">
      <w:pPr>
        <w:pStyle w:val="BodyText"/>
        <w:spacing w:before="1"/>
      </w:pPr>
    </w:p>
    <w:tbl>
      <w:tblPr>
        <w:tblStyle w:val="TableGrid"/>
        <w:tblW w:w="4000" w:type="pct"/>
        <w:tblInd w:w="607" w:type="dxa"/>
        <w:tblLook w:val="04A0" w:firstRow="1" w:lastRow="0" w:firstColumn="1" w:lastColumn="0" w:noHBand="0" w:noVBand="1"/>
      </w:tblPr>
      <w:tblGrid>
        <w:gridCol w:w="1965"/>
        <w:gridCol w:w="1965"/>
        <w:gridCol w:w="1965"/>
        <w:gridCol w:w="1965"/>
      </w:tblGrid>
      <w:tr w:rsidR="00886E0F" w:rsidRPr="00700039" w14:paraId="7E5B3CD1" w14:textId="77777777" w:rsidTr="00FA4BA6">
        <w:tc>
          <w:tcPr>
            <w:tcW w:w="5000" w:type="pct"/>
            <w:gridSpan w:val="4"/>
            <w:shd w:val="clear" w:color="auto" w:fill="CE8D95"/>
          </w:tcPr>
          <w:p w14:paraId="0585F02A" w14:textId="145B2AFE" w:rsidR="00886E0F" w:rsidRPr="004678C2" w:rsidRDefault="00886E0F">
            <w:pPr>
              <w:rPr>
                <w:b/>
                <w:bCs/>
              </w:rPr>
            </w:pPr>
            <w:r>
              <w:rPr>
                <w:b/>
                <w:bCs/>
              </w:rPr>
              <w:t xml:space="preserve">Trustee training day </w:t>
            </w:r>
          </w:p>
        </w:tc>
      </w:tr>
      <w:tr w:rsidR="00886E0F" w:rsidRPr="00700039" w14:paraId="6749AFFA" w14:textId="77777777" w:rsidTr="00FA4BA6">
        <w:tc>
          <w:tcPr>
            <w:tcW w:w="1250" w:type="pct"/>
            <w:shd w:val="clear" w:color="auto" w:fill="ECE6E0"/>
          </w:tcPr>
          <w:p w14:paraId="098A6451" w14:textId="77777777" w:rsidR="00886E0F" w:rsidRPr="004678C2" w:rsidRDefault="00886E0F">
            <w:pPr>
              <w:rPr>
                <w:b/>
                <w:bCs/>
              </w:rPr>
            </w:pPr>
            <w:r w:rsidRPr="004678C2">
              <w:rPr>
                <w:b/>
                <w:bCs/>
              </w:rPr>
              <w:t>Name</w:t>
            </w:r>
          </w:p>
        </w:tc>
        <w:tc>
          <w:tcPr>
            <w:tcW w:w="1250" w:type="pct"/>
            <w:shd w:val="clear" w:color="auto" w:fill="ECE6E0"/>
          </w:tcPr>
          <w:p w14:paraId="1D372BA7" w14:textId="77777777" w:rsidR="00886E0F" w:rsidRPr="004678C2" w:rsidRDefault="00886E0F">
            <w:pPr>
              <w:rPr>
                <w:b/>
                <w:bCs/>
              </w:rPr>
            </w:pPr>
            <w:r w:rsidRPr="004678C2">
              <w:rPr>
                <w:b/>
                <w:bCs/>
              </w:rPr>
              <w:t>Area covered</w:t>
            </w:r>
          </w:p>
        </w:tc>
        <w:tc>
          <w:tcPr>
            <w:tcW w:w="1250" w:type="pct"/>
            <w:shd w:val="clear" w:color="auto" w:fill="ECE6E0"/>
          </w:tcPr>
          <w:p w14:paraId="6892704B" w14:textId="77777777" w:rsidR="00886E0F" w:rsidRPr="004678C2" w:rsidRDefault="00886E0F">
            <w:pPr>
              <w:rPr>
                <w:b/>
                <w:bCs/>
              </w:rPr>
            </w:pPr>
            <w:r w:rsidRPr="004678C2">
              <w:rPr>
                <w:b/>
                <w:bCs/>
              </w:rPr>
              <w:t xml:space="preserve">Content type </w:t>
            </w:r>
          </w:p>
        </w:tc>
        <w:tc>
          <w:tcPr>
            <w:tcW w:w="1250" w:type="pct"/>
            <w:shd w:val="clear" w:color="auto" w:fill="ECE6E0"/>
          </w:tcPr>
          <w:p w14:paraId="54EAEA27" w14:textId="77777777" w:rsidR="00886E0F" w:rsidRPr="004678C2" w:rsidRDefault="00886E0F">
            <w:pPr>
              <w:rPr>
                <w:b/>
                <w:bCs/>
              </w:rPr>
            </w:pPr>
            <w:r w:rsidRPr="004678C2">
              <w:rPr>
                <w:b/>
                <w:bCs/>
              </w:rPr>
              <w:t xml:space="preserve">Date </w:t>
            </w:r>
          </w:p>
        </w:tc>
      </w:tr>
      <w:tr w:rsidR="00886E0F" w:rsidRPr="00700039" w14:paraId="5826A2A5" w14:textId="77777777" w:rsidTr="00FA4BA6">
        <w:tc>
          <w:tcPr>
            <w:tcW w:w="1250" w:type="pct"/>
          </w:tcPr>
          <w:p w14:paraId="10F0EDED" w14:textId="77777777" w:rsidR="00886E0F" w:rsidRPr="00700039" w:rsidRDefault="00886E0F">
            <w:r w:rsidRPr="00700039">
              <w:t>L&amp;G funds and Target Date Funds</w:t>
            </w:r>
          </w:p>
        </w:tc>
        <w:tc>
          <w:tcPr>
            <w:tcW w:w="1250" w:type="pct"/>
          </w:tcPr>
          <w:p w14:paraId="05E46A5A" w14:textId="77777777" w:rsidR="00886E0F" w:rsidRPr="00700039" w:rsidRDefault="00886E0F">
            <w:r w:rsidRPr="00700039">
              <w:t xml:space="preserve">DC investment </w:t>
            </w:r>
          </w:p>
        </w:tc>
        <w:tc>
          <w:tcPr>
            <w:tcW w:w="1250" w:type="pct"/>
          </w:tcPr>
          <w:p w14:paraId="26D0BC97" w14:textId="77777777" w:rsidR="00886E0F" w:rsidRPr="00700039" w:rsidRDefault="00886E0F">
            <w:r w:rsidRPr="00700039">
              <w:t>Presentation and discussion</w:t>
            </w:r>
          </w:p>
        </w:tc>
        <w:tc>
          <w:tcPr>
            <w:tcW w:w="1250" w:type="pct"/>
          </w:tcPr>
          <w:p w14:paraId="30DFA1AE" w14:textId="77777777" w:rsidR="00886E0F" w:rsidRPr="00700039" w:rsidRDefault="00886E0F">
            <w:r w:rsidRPr="00700039">
              <w:t xml:space="preserve">June 2024 </w:t>
            </w:r>
          </w:p>
        </w:tc>
      </w:tr>
      <w:tr w:rsidR="00886E0F" w:rsidRPr="00700039" w14:paraId="190E5A1E" w14:textId="77777777" w:rsidTr="00FA4BA6">
        <w:tc>
          <w:tcPr>
            <w:tcW w:w="1250" w:type="pct"/>
          </w:tcPr>
          <w:p w14:paraId="5D3A68E9" w14:textId="77777777" w:rsidR="00886E0F" w:rsidRPr="00700039" w:rsidRDefault="00886E0F">
            <w:r w:rsidRPr="00700039">
              <w:t>LDI headroom and collateral</w:t>
            </w:r>
          </w:p>
        </w:tc>
        <w:tc>
          <w:tcPr>
            <w:tcW w:w="1250" w:type="pct"/>
          </w:tcPr>
          <w:p w14:paraId="24D78BBC" w14:textId="77777777" w:rsidR="00886E0F" w:rsidRPr="00700039" w:rsidRDefault="00886E0F">
            <w:r w:rsidRPr="00700039">
              <w:t xml:space="preserve">DB Investment </w:t>
            </w:r>
          </w:p>
        </w:tc>
        <w:tc>
          <w:tcPr>
            <w:tcW w:w="1250" w:type="pct"/>
          </w:tcPr>
          <w:p w14:paraId="7C188402" w14:textId="2FF85488" w:rsidR="00886E0F" w:rsidRPr="00700039" w:rsidRDefault="00886E0F">
            <w:r w:rsidRPr="00700039">
              <w:t>Ditto</w:t>
            </w:r>
          </w:p>
        </w:tc>
        <w:tc>
          <w:tcPr>
            <w:tcW w:w="1250" w:type="pct"/>
          </w:tcPr>
          <w:p w14:paraId="538D4353" w14:textId="77777777" w:rsidR="00886E0F" w:rsidRPr="00700039" w:rsidRDefault="00886E0F">
            <w:r w:rsidRPr="00E311E0">
              <w:t xml:space="preserve">June 2024 </w:t>
            </w:r>
          </w:p>
        </w:tc>
      </w:tr>
      <w:tr w:rsidR="00886E0F" w:rsidRPr="00700039" w14:paraId="74E0565E" w14:textId="77777777" w:rsidTr="00FA4BA6">
        <w:tc>
          <w:tcPr>
            <w:tcW w:w="1250" w:type="pct"/>
          </w:tcPr>
          <w:p w14:paraId="56A3E0C7" w14:textId="77777777" w:rsidR="00886E0F" w:rsidRPr="00700039" w:rsidRDefault="00886E0F">
            <w:r w:rsidRPr="00700039">
              <w:t>Risk</w:t>
            </w:r>
          </w:p>
        </w:tc>
        <w:tc>
          <w:tcPr>
            <w:tcW w:w="1250" w:type="pct"/>
          </w:tcPr>
          <w:p w14:paraId="67F30EC1" w14:textId="77777777" w:rsidR="00886E0F" w:rsidRPr="00700039" w:rsidRDefault="00886E0F">
            <w:r w:rsidRPr="00700039">
              <w:t xml:space="preserve">Risk management </w:t>
            </w:r>
          </w:p>
        </w:tc>
        <w:tc>
          <w:tcPr>
            <w:tcW w:w="1250" w:type="pct"/>
          </w:tcPr>
          <w:p w14:paraId="7289E17F" w14:textId="77777777" w:rsidR="00886E0F" w:rsidRPr="00700039" w:rsidRDefault="00886E0F">
            <w:r w:rsidRPr="00700039">
              <w:t xml:space="preserve">Ditto </w:t>
            </w:r>
          </w:p>
        </w:tc>
        <w:tc>
          <w:tcPr>
            <w:tcW w:w="1250" w:type="pct"/>
          </w:tcPr>
          <w:p w14:paraId="2E9CA7BE" w14:textId="77777777" w:rsidR="00886E0F" w:rsidRPr="00700039" w:rsidRDefault="00886E0F">
            <w:r w:rsidRPr="00E311E0">
              <w:t xml:space="preserve">June 2024 </w:t>
            </w:r>
          </w:p>
        </w:tc>
      </w:tr>
      <w:tr w:rsidR="00886E0F" w:rsidRPr="00700039" w14:paraId="18AD8D85" w14:textId="77777777" w:rsidTr="00FA4BA6">
        <w:tc>
          <w:tcPr>
            <w:tcW w:w="1250" w:type="pct"/>
          </w:tcPr>
          <w:p w14:paraId="5D5E4E35" w14:textId="77777777" w:rsidR="00886E0F" w:rsidRPr="00700039" w:rsidRDefault="00886E0F">
            <w:r w:rsidRPr="00700039">
              <w:t>Legal update</w:t>
            </w:r>
          </w:p>
        </w:tc>
        <w:tc>
          <w:tcPr>
            <w:tcW w:w="1250" w:type="pct"/>
          </w:tcPr>
          <w:p w14:paraId="05EB1D0D" w14:textId="77777777" w:rsidR="00886E0F" w:rsidRPr="00700039" w:rsidRDefault="00886E0F">
            <w:r w:rsidRPr="00700039">
              <w:t xml:space="preserve">Pensions Law - Fiduciary duties, case law, code of practice </w:t>
            </w:r>
          </w:p>
        </w:tc>
        <w:tc>
          <w:tcPr>
            <w:tcW w:w="1250" w:type="pct"/>
          </w:tcPr>
          <w:p w14:paraId="27C62E60" w14:textId="77777777" w:rsidR="00886E0F" w:rsidRPr="00700039" w:rsidRDefault="00886E0F">
            <w:r w:rsidRPr="00700039">
              <w:t xml:space="preserve">Ditto </w:t>
            </w:r>
          </w:p>
        </w:tc>
        <w:tc>
          <w:tcPr>
            <w:tcW w:w="1250" w:type="pct"/>
          </w:tcPr>
          <w:p w14:paraId="78EDEA9E" w14:textId="77777777" w:rsidR="00886E0F" w:rsidRPr="00700039" w:rsidRDefault="00886E0F">
            <w:r w:rsidRPr="00E311E0">
              <w:t xml:space="preserve">June 2024 </w:t>
            </w:r>
          </w:p>
        </w:tc>
      </w:tr>
      <w:tr w:rsidR="00886E0F" w:rsidRPr="00700039" w14:paraId="7D84D7F3" w14:textId="77777777" w:rsidTr="00FA4BA6">
        <w:tc>
          <w:tcPr>
            <w:tcW w:w="1250" w:type="pct"/>
          </w:tcPr>
          <w:p w14:paraId="551ADB04" w14:textId="77777777" w:rsidR="00886E0F" w:rsidRPr="00700039" w:rsidRDefault="00886E0F">
            <w:r w:rsidRPr="00700039">
              <w:t xml:space="preserve">Cyber security </w:t>
            </w:r>
          </w:p>
        </w:tc>
        <w:tc>
          <w:tcPr>
            <w:tcW w:w="1250" w:type="pct"/>
          </w:tcPr>
          <w:p w14:paraId="02510F09" w14:textId="77777777" w:rsidR="00886E0F" w:rsidRPr="00700039" w:rsidRDefault="00886E0F">
            <w:r w:rsidRPr="00700039">
              <w:t>Information Security</w:t>
            </w:r>
          </w:p>
        </w:tc>
        <w:tc>
          <w:tcPr>
            <w:tcW w:w="1250" w:type="pct"/>
          </w:tcPr>
          <w:p w14:paraId="7ABA72EE" w14:textId="622F00CA" w:rsidR="00886E0F" w:rsidRPr="00700039" w:rsidRDefault="00886E0F">
            <w:r w:rsidRPr="00700039">
              <w:t xml:space="preserve">Incident simulation </w:t>
            </w:r>
          </w:p>
        </w:tc>
        <w:tc>
          <w:tcPr>
            <w:tcW w:w="1250" w:type="pct"/>
          </w:tcPr>
          <w:p w14:paraId="5DD80A2D" w14:textId="77777777" w:rsidR="00886E0F" w:rsidRPr="00700039" w:rsidRDefault="00886E0F">
            <w:r w:rsidRPr="00E311E0">
              <w:t xml:space="preserve">June 2024 </w:t>
            </w:r>
          </w:p>
        </w:tc>
      </w:tr>
    </w:tbl>
    <w:p w14:paraId="6C5D92F7" w14:textId="77777777" w:rsidR="00886E0F" w:rsidRPr="00700039" w:rsidRDefault="00886E0F" w:rsidP="00886E0F"/>
    <w:tbl>
      <w:tblPr>
        <w:tblStyle w:val="TableGrid"/>
        <w:tblW w:w="4000" w:type="pct"/>
        <w:tblInd w:w="607" w:type="dxa"/>
        <w:tblLook w:val="04A0" w:firstRow="1" w:lastRow="0" w:firstColumn="1" w:lastColumn="0" w:noHBand="0" w:noVBand="1"/>
      </w:tblPr>
      <w:tblGrid>
        <w:gridCol w:w="1965"/>
        <w:gridCol w:w="1965"/>
        <w:gridCol w:w="1965"/>
        <w:gridCol w:w="1965"/>
      </w:tblGrid>
      <w:tr w:rsidR="00886E0F" w:rsidRPr="00700039" w14:paraId="5CF203D5" w14:textId="77777777" w:rsidTr="00FA4BA6">
        <w:tc>
          <w:tcPr>
            <w:tcW w:w="5000" w:type="pct"/>
            <w:gridSpan w:val="4"/>
            <w:shd w:val="clear" w:color="auto" w:fill="CE8D95"/>
          </w:tcPr>
          <w:p w14:paraId="4BF6FA6D" w14:textId="409AD1E4" w:rsidR="00886E0F" w:rsidRPr="004678C2" w:rsidRDefault="00886E0F">
            <w:pPr>
              <w:rPr>
                <w:b/>
                <w:bCs/>
              </w:rPr>
            </w:pPr>
            <w:r>
              <w:rPr>
                <w:b/>
                <w:bCs/>
              </w:rPr>
              <w:t>Trustee Board meetings</w:t>
            </w:r>
          </w:p>
        </w:tc>
      </w:tr>
      <w:tr w:rsidR="00886E0F" w:rsidRPr="00700039" w14:paraId="3EF62E34" w14:textId="77777777" w:rsidTr="00FA4BA6">
        <w:tc>
          <w:tcPr>
            <w:tcW w:w="1250" w:type="pct"/>
            <w:shd w:val="clear" w:color="auto" w:fill="ECE6E0"/>
          </w:tcPr>
          <w:p w14:paraId="0C9B9D44" w14:textId="77777777" w:rsidR="00886E0F" w:rsidRPr="004678C2" w:rsidRDefault="00886E0F">
            <w:pPr>
              <w:rPr>
                <w:b/>
                <w:bCs/>
              </w:rPr>
            </w:pPr>
            <w:r w:rsidRPr="004678C2">
              <w:rPr>
                <w:b/>
                <w:bCs/>
              </w:rPr>
              <w:t>Name</w:t>
            </w:r>
          </w:p>
        </w:tc>
        <w:tc>
          <w:tcPr>
            <w:tcW w:w="1250" w:type="pct"/>
            <w:shd w:val="clear" w:color="auto" w:fill="ECE6E0"/>
          </w:tcPr>
          <w:p w14:paraId="48ECEDC7" w14:textId="77777777" w:rsidR="00886E0F" w:rsidRPr="004678C2" w:rsidRDefault="00886E0F">
            <w:pPr>
              <w:rPr>
                <w:b/>
                <w:bCs/>
              </w:rPr>
            </w:pPr>
            <w:r w:rsidRPr="004678C2">
              <w:rPr>
                <w:b/>
                <w:bCs/>
              </w:rPr>
              <w:t>Area covered</w:t>
            </w:r>
          </w:p>
        </w:tc>
        <w:tc>
          <w:tcPr>
            <w:tcW w:w="1250" w:type="pct"/>
            <w:shd w:val="clear" w:color="auto" w:fill="ECE6E0"/>
          </w:tcPr>
          <w:p w14:paraId="446ACE59" w14:textId="77777777" w:rsidR="00886E0F" w:rsidRPr="004678C2" w:rsidRDefault="00886E0F">
            <w:pPr>
              <w:rPr>
                <w:b/>
                <w:bCs/>
              </w:rPr>
            </w:pPr>
            <w:r w:rsidRPr="004678C2">
              <w:rPr>
                <w:b/>
                <w:bCs/>
              </w:rPr>
              <w:t xml:space="preserve">Content type </w:t>
            </w:r>
          </w:p>
        </w:tc>
        <w:tc>
          <w:tcPr>
            <w:tcW w:w="1250" w:type="pct"/>
            <w:shd w:val="clear" w:color="auto" w:fill="ECE6E0"/>
          </w:tcPr>
          <w:p w14:paraId="507B0B1E" w14:textId="77777777" w:rsidR="00886E0F" w:rsidRPr="004678C2" w:rsidRDefault="00886E0F">
            <w:pPr>
              <w:rPr>
                <w:b/>
                <w:bCs/>
              </w:rPr>
            </w:pPr>
            <w:r w:rsidRPr="004678C2">
              <w:rPr>
                <w:b/>
                <w:bCs/>
              </w:rPr>
              <w:t xml:space="preserve">Date </w:t>
            </w:r>
          </w:p>
        </w:tc>
      </w:tr>
      <w:tr w:rsidR="00886E0F" w:rsidRPr="00700039" w14:paraId="2FB80B7C" w14:textId="77777777" w:rsidTr="00FA4BA6">
        <w:tc>
          <w:tcPr>
            <w:tcW w:w="1250" w:type="pct"/>
          </w:tcPr>
          <w:p w14:paraId="3D11F470" w14:textId="77777777" w:rsidR="00886E0F" w:rsidRPr="00700039" w:rsidRDefault="00886E0F">
            <w:r w:rsidRPr="00700039">
              <w:t xml:space="preserve">GMP Equalisation </w:t>
            </w:r>
          </w:p>
        </w:tc>
        <w:tc>
          <w:tcPr>
            <w:tcW w:w="1250" w:type="pct"/>
          </w:tcPr>
          <w:p w14:paraId="74DB45D9" w14:textId="77777777" w:rsidR="00886E0F" w:rsidRPr="00700039" w:rsidRDefault="00886E0F">
            <w:r w:rsidRPr="00700039">
              <w:t>Scheme benefits</w:t>
            </w:r>
          </w:p>
        </w:tc>
        <w:tc>
          <w:tcPr>
            <w:tcW w:w="1250" w:type="pct"/>
          </w:tcPr>
          <w:p w14:paraId="1B139BE2" w14:textId="77777777" w:rsidR="00886E0F" w:rsidRPr="00700039" w:rsidRDefault="00886E0F">
            <w:r w:rsidRPr="00700039">
              <w:t>Paper presented at meeting</w:t>
            </w:r>
          </w:p>
        </w:tc>
        <w:tc>
          <w:tcPr>
            <w:tcW w:w="1250" w:type="pct"/>
          </w:tcPr>
          <w:p w14:paraId="5A4FDEED" w14:textId="77777777" w:rsidR="00886E0F" w:rsidRPr="00700039" w:rsidRDefault="00886E0F">
            <w:r w:rsidRPr="00700039">
              <w:t>June 2024</w:t>
            </w:r>
          </w:p>
        </w:tc>
      </w:tr>
      <w:tr w:rsidR="00886E0F" w:rsidRPr="00700039" w14:paraId="698F0D26" w14:textId="77777777" w:rsidTr="00FA4BA6">
        <w:tc>
          <w:tcPr>
            <w:tcW w:w="1250" w:type="pct"/>
          </w:tcPr>
          <w:p w14:paraId="0C22E978" w14:textId="05E06EFB" w:rsidR="00886E0F" w:rsidRPr="00700039" w:rsidRDefault="0007065D">
            <w:r>
              <w:t>DB funding code</w:t>
            </w:r>
          </w:p>
        </w:tc>
        <w:tc>
          <w:tcPr>
            <w:tcW w:w="1250" w:type="pct"/>
          </w:tcPr>
          <w:p w14:paraId="32635EDC" w14:textId="11435B02" w:rsidR="00886E0F" w:rsidRPr="00700039" w:rsidRDefault="0007065D">
            <w:r>
              <w:t xml:space="preserve">Funding </w:t>
            </w:r>
          </w:p>
        </w:tc>
        <w:tc>
          <w:tcPr>
            <w:tcW w:w="1250" w:type="pct"/>
          </w:tcPr>
          <w:p w14:paraId="293AF597" w14:textId="09329753" w:rsidR="00886E0F" w:rsidRPr="00700039" w:rsidRDefault="0007065D">
            <w:r w:rsidRPr="00700039">
              <w:t>Paper presented at meeting</w:t>
            </w:r>
          </w:p>
        </w:tc>
        <w:tc>
          <w:tcPr>
            <w:tcW w:w="1250" w:type="pct"/>
          </w:tcPr>
          <w:p w14:paraId="55EC6943" w14:textId="0EAC243B" w:rsidR="00886E0F" w:rsidRPr="00700039" w:rsidRDefault="0007065D">
            <w:r>
              <w:t>September 2024</w:t>
            </w:r>
          </w:p>
        </w:tc>
      </w:tr>
      <w:tr w:rsidR="0007065D" w:rsidRPr="00700039" w14:paraId="554F138D" w14:textId="77777777" w:rsidTr="00FA4BA6">
        <w:tc>
          <w:tcPr>
            <w:tcW w:w="1250" w:type="pct"/>
          </w:tcPr>
          <w:p w14:paraId="28BD300A" w14:textId="7857CBB6" w:rsidR="0007065D" w:rsidRDefault="0007065D">
            <w:r>
              <w:t>Budget update</w:t>
            </w:r>
          </w:p>
        </w:tc>
        <w:tc>
          <w:tcPr>
            <w:tcW w:w="1250" w:type="pct"/>
          </w:tcPr>
          <w:p w14:paraId="7CE8AC2C" w14:textId="522C5785" w:rsidR="0007065D" w:rsidRDefault="0007065D">
            <w:r>
              <w:t>Scheme benefits, including tax on benefits at death</w:t>
            </w:r>
          </w:p>
        </w:tc>
        <w:tc>
          <w:tcPr>
            <w:tcW w:w="1250" w:type="pct"/>
          </w:tcPr>
          <w:p w14:paraId="05220B33" w14:textId="32B01652" w:rsidR="0007065D" w:rsidRPr="00700039" w:rsidRDefault="0007065D">
            <w:r w:rsidRPr="00700039">
              <w:t>Paper presented at meeting</w:t>
            </w:r>
          </w:p>
        </w:tc>
        <w:tc>
          <w:tcPr>
            <w:tcW w:w="1250" w:type="pct"/>
          </w:tcPr>
          <w:p w14:paraId="061456B5" w14:textId="326222A2" w:rsidR="0007065D" w:rsidRDefault="0007065D">
            <w:r>
              <w:t>December 2024</w:t>
            </w:r>
          </w:p>
        </w:tc>
      </w:tr>
    </w:tbl>
    <w:p w14:paraId="533F5EC0" w14:textId="77777777" w:rsidR="00AB3475" w:rsidRDefault="00AB3475">
      <w:pPr>
        <w:pStyle w:val="BodyText"/>
      </w:pPr>
    </w:p>
    <w:p w14:paraId="2B1BB953" w14:textId="77777777" w:rsidR="00886E0F" w:rsidRDefault="00886E0F">
      <w:pPr>
        <w:pStyle w:val="BodyText"/>
      </w:pPr>
    </w:p>
    <w:p w14:paraId="533F5ED3" w14:textId="77777777" w:rsidR="00AB3475" w:rsidRDefault="00AB3475">
      <w:pPr>
        <w:pStyle w:val="BodyText"/>
        <w:spacing w:before="2"/>
      </w:pPr>
    </w:p>
    <w:p w14:paraId="65324944" w14:textId="77777777" w:rsidR="00AB3475" w:rsidRDefault="00A853B3" w:rsidP="00131ECB">
      <w:pPr>
        <w:pStyle w:val="BodyText"/>
        <w:ind w:left="199" w:right="552"/>
        <w:jc w:val="both"/>
        <w:rPr>
          <w:b/>
          <w:bCs/>
        </w:rPr>
      </w:pPr>
      <w:r w:rsidRPr="009F5452">
        <w:rPr>
          <w:b/>
          <w:bCs/>
        </w:rPr>
        <w:t xml:space="preserve">Taking account of actions taken individually and as a Trustee Board, together with advice available from its professional advisers, the Trustee considers that its Board has the necessary knowledge and understanding to properly exercise its functions as Trustee of </w:t>
      </w:r>
      <w:r w:rsidR="003B29DD" w:rsidRPr="009F5452">
        <w:rPr>
          <w:b/>
          <w:bCs/>
        </w:rPr>
        <w:t>the Fund</w:t>
      </w:r>
      <w:r w:rsidRPr="009F5452">
        <w:rPr>
          <w:b/>
          <w:bCs/>
        </w:rPr>
        <w:t>.</w:t>
      </w:r>
      <w:r w:rsidR="00131ECB">
        <w:rPr>
          <w:b/>
          <w:bCs/>
        </w:rPr>
        <w:t xml:space="preserve"> </w:t>
      </w:r>
    </w:p>
    <w:p w14:paraId="533F5EE2" w14:textId="77777777" w:rsidR="00AB3475" w:rsidRDefault="00AB3475">
      <w:pPr>
        <w:pStyle w:val="BodyText"/>
        <w:spacing w:before="173"/>
      </w:pPr>
    </w:p>
    <w:p w14:paraId="533F5EE3" w14:textId="77777777" w:rsidR="00AB3475" w:rsidRDefault="00A853B3">
      <w:pPr>
        <w:pStyle w:val="Heading1"/>
        <w:tabs>
          <w:tab w:val="left" w:pos="765"/>
        </w:tabs>
      </w:pPr>
      <w:r>
        <w:rPr>
          <w:spacing w:val="-5"/>
        </w:rPr>
        <w:t>7B.</w:t>
      </w:r>
      <w:r>
        <w:tab/>
      </w:r>
      <w:r>
        <w:rPr>
          <w:spacing w:val="-2"/>
          <w:u w:val="single"/>
        </w:rPr>
        <w:t>FEEDBACK</w:t>
      </w:r>
    </w:p>
    <w:p w14:paraId="533F5EE4" w14:textId="77777777" w:rsidR="00AB3475" w:rsidRDefault="00AB3475">
      <w:pPr>
        <w:pStyle w:val="BodyText"/>
        <w:spacing w:before="108"/>
        <w:rPr>
          <w:b/>
        </w:rPr>
      </w:pPr>
    </w:p>
    <w:p w14:paraId="533F5EE5" w14:textId="7A384E36" w:rsidR="00AB3475" w:rsidRDefault="00A853B3">
      <w:pPr>
        <w:pStyle w:val="BodyText"/>
        <w:ind w:left="199" w:right="554"/>
        <w:jc w:val="both"/>
      </w:pPr>
      <w:r>
        <w:t>Members</w:t>
      </w:r>
      <w:r>
        <w:rPr>
          <w:spacing w:val="-8"/>
        </w:rPr>
        <w:t xml:space="preserve"> </w:t>
      </w:r>
      <w:r>
        <w:t>are</w:t>
      </w:r>
      <w:r>
        <w:rPr>
          <w:spacing w:val="-11"/>
        </w:rPr>
        <w:t xml:space="preserve"> </w:t>
      </w:r>
      <w:r>
        <w:t>encouraged</w:t>
      </w:r>
      <w:r>
        <w:rPr>
          <w:spacing w:val="-9"/>
        </w:rPr>
        <w:t xml:space="preserve"> </w:t>
      </w:r>
      <w:r>
        <w:t>to</w:t>
      </w:r>
      <w:r>
        <w:rPr>
          <w:spacing w:val="-11"/>
        </w:rPr>
        <w:t xml:space="preserve"> </w:t>
      </w:r>
      <w:r>
        <w:t>make</w:t>
      </w:r>
      <w:r>
        <w:rPr>
          <w:spacing w:val="-11"/>
        </w:rPr>
        <w:t xml:space="preserve"> </w:t>
      </w:r>
      <w:r>
        <w:t>their</w:t>
      </w:r>
      <w:r>
        <w:rPr>
          <w:spacing w:val="-8"/>
        </w:rPr>
        <w:t xml:space="preserve"> </w:t>
      </w:r>
      <w:r>
        <w:t>views</w:t>
      </w:r>
      <w:r>
        <w:rPr>
          <w:spacing w:val="-8"/>
        </w:rPr>
        <w:t xml:space="preserve"> </w:t>
      </w:r>
      <w:r>
        <w:t>on</w:t>
      </w:r>
      <w:r>
        <w:rPr>
          <w:spacing w:val="-9"/>
        </w:rPr>
        <w:t xml:space="preserve"> </w:t>
      </w:r>
      <w:r>
        <w:t>matters</w:t>
      </w:r>
      <w:r>
        <w:rPr>
          <w:spacing w:val="-10"/>
        </w:rPr>
        <w:t xml:space="preserve"> </w:t>
      </w:r>
      <w:r>
        <w:t>relating</w:t>
      </w:r>
      <w:r>
        <w:rPr>
          <w:spacing w:val="-9"/>
        </w:rPr>
        <w:t xml:space="preserve"> </w:t>
      </w:r>
      <w:r>
        <w:t>to</w:t>
      </w:r>
      <w:r>
        <w:rPr>
          <w:spacing w:val="-11"/>
        </w:rPr>
        <w:t xml:space="preserve"> </w:t>
      </w:r>
      <w:r>
        <w:t xml:space="preserve">the </w:t>
      </w:r>
      <w:r w:rsidR="005F1420">
        <w:t xml:space="preserve">Fund </w:t>
      </w:r>
      <w:r>
        <w:t xml:space="preserve">known to the Trustee. Because of the size, nature and demographic of the </w:t>
      </w:r>
      <w:r w:rsidR="00FF2CB5">
        <w:t>Fund’s</w:t>
      </w:r>
      <w:r>
        <w:t xml:space="preserve"> membership, a range of different channels is available to members should they wish to share their views with the Trustee. They may contact the Trustee via the contact details (telephone number,</w:t>
      </w:r>
      <w:r>
        <w:rPr>
          <w:spacing w:val="-3"/>
        </w:rPr>
        <w:t xml:space="preserve"> </w:t>
      </w:r>
      <w:r>
        <w:t>email</w:t>
      </w:r>
      <w:r>
        <w:rPr>
          <w:spacing w:val="-5"/>
        </w:rPr>
        <w:t xml:space="preserve"> </w:t>
      </w:r>
      <w:r>
        <w:t>and</w:t>
      </w:r>
      <w:r>
        <w:rPr>
          <w:spacing w:val="-6"/>
        </w:rPr>
        <w:t xml:space="preserve"> </w:t>
      </w:r>
      <w:r>
        <w:t>postal</w:t>
      </w:r>
      <w:r>
        <w:rPr>
          <w:spacing w:val="-5"/>
        </w:rPr>
        <w:t xml:space="preserve"> </w:t>
      </w:r>
      <w:r>
        <w:t>address)</w:t>
      </w:r>
      <w:r>
        <w:rPr>
          <w:spacing w:val="-3"/>
        </w:rPr>
        <w:t xml:space="preserve"> </w:t>
      </w:r>
      <w:r>
        <w:t>in</w:t>
      </w:r>
      <w:r>
        <w:rPr>
          <w:spacing w:val="-6"/>
        </w:rPr>
        <w:t xml:space="preserve"> </w:t>
      </w:r>
      <w:r>
        <w:t>the</w:t>
      </w:r>
      <w:r>
        <w:rPr>
          <w:spacing w:val="-7"/>
        </w:rPr>
        <w:t xml:space="preserve"> </w:t>
      </w:r>
      <w:r>
        <w:t>annual</w:t>
      </w:r>
      <w:r>
        <w:rPr>
          <w:spacing w:val="-7"/>
        </w:rPr>
        <w:t xml:space="preserve"> </w:t>
      </w:r>
      <w:r>
        <w:t>report</w:t>
      </w:r>
      <w:r>
        <w:rPr>
          <w:spacing w:val="-4"/>
        </w:rPr>
        <w:t xml:space="preserve"> </w:t>
      </w:r>
      <w:r>
        <w:t>and</w:t>
      </w:r>
      <w:r>
        <w:rPr>
          <w:spacing w:val="-6"/>
        </w:rPr>
        <w:t xml:space="preserve"> </w:t>
      </w:r>
      <w:r>
        <w:t>the</w:t>
      </w:r>
      <w:r>
        <w:rPr>
          <w:spacing w:val="-7"/>
        </w:rPr>
        <w:t xml:space="preserve"> </w:t>
      </w:r>
      <w:r>
        <w:t>annual</w:t>
      </w:r>
      <w:r>
        <w:rPr>
          <w:spacing w:val="-7"/>
        </w:rPr>
        <w:t xml:space="preserve"> </w:t>
      </w:r>
      <w:r>
        <w:t>members’</w:t>
      </w:r>
      <w:r>
        <w:rPr>
          <w:spacing w:val="-7"/>
        </w:rPr>
        <w:t xml:space="preserve"> </w:t>
      </w:r>
      <w:r>
        <w:t>newsletter</w:t>
      </w:r>
      <w:r>
        <w:rPr>
          <w:spacing w:val="-6"/>
        </w:rPr>
        <w:t xml:space="preserve"> </w:t>
      </w:r>
      <w:r>
        <w:t>and on</w:t>
      </w:r>
      <w:r>
        <w:rPr>
          <w:spacing w:val="-7"/>
        </w:rPr>
        <w:t xml:space="preserve"> </w:t>
      </w:r>
      <w:r>
        <w:t>the</w:t>
      </w:r>
      <w:r>
        <w:rPr>
          <w:spacing w:val="-12"/>
        </w:rPr>
        <w:t xml:space="preserve"> </w:t>
      </w:r>
      <w:r w:rsidR="005F1420">
        <w:t>Fund’s</w:t>
      </w:r>
      <w:r>
        <w:rPr>
          <w:spacing w:val="-7"/>
        </w:rPr>
        <w:t xml:space="preserve"> </w:t>
      </w:r>
      <w:r>
        <w:t>website.</w:t>
      </w:r>
      <w:r>
        <w:rPr>
          <w:spacing w:val="-6"/>
        </w:rPr>
        <w:t xml:space="preserve"> </w:t>
      </w:r>
      <w:r>
        <w:t>Members</w:t>
      </w:r>
      <w:r>
        <w:rPr>
          <w:spacing w:val="-8"/>
        </w:rPr>
        <w:t xml:space="preserve"> </w:t>
      </w:r>
      <w:r>
        <w:t>may</w:t>
      </w:r>
      <w:r>
        <w:rPr>
          <w:spacing w:val="-9"/>
        </w:rPr>
        <w:t xml:space="preserve"> </w:t>
      </w:r>
      <w:r>
        <w:t>also</w:t>
      </w:r>
      <w:r>
        <w:rPr>
          <w:spacing w:val="-11"/>
        </w:rPr>
        <w:t xml:space="preserve"> </w:t>
      </w:r>
      <w:r>
        <w:t>give</w:t>
      </w:r>
      <w:r>
        <w:rPr>
          <w:spacing w:val="-7"/>
        </w:rPr>
        <w:t xml:space="preserve"> </w:t>
      </w:r>
      <w:r>
        <w:t>feedback</w:t>
      </w:r>
      <w:r>
        <w:rPr>
          <w:spacing w:val="-5"/>
        </w:rPr>
        <w:t xml:space="preserve"> </w:t>
      </w:r>
      <w:r>
        <w:t>when</w:t>
      </w:r>
      <w:r>
        <w:rPr>
          <w:spacing w:val="-7"/>
        </w:rPr>
        <w:t xml:space="preserve"> </w:t>
      </w:r>
      <w:r>
        <w:t>in</w:t>
      </w:r>
      <w:r>
        <w:rPr>
          <w:spacing w:val="-7"/>
        </w:rPr>
        <w:t xml:space="preserve"> </w:t>
      </w:r>
      <w:r>
        <w:t>contact</w:t>
      </w:r>
      <w:r>
        <w:rPr>
          <w:spacing w:val="-8"/>
        </w:rPr>
        <w:t xml:space="preserve"> </w:t>
      </w:r>
      <w:r>
        <w:t>with</w:t>
      </w:r>
      <w:r>
        <w:rPr>
          <w:spacing w:val="-7"/>
        </w:rPr>
        <w:t xml:space="preserve"> </w:t>
      </w:r>
      <w:r>
        <w:t>the</w:t>
      </w:r>
      <w:r>
        <w:rPr>
          <w:spacing w:val="-9"/>
        </w:rPr>
        <w:t xml:space="preserve"> </w:t>
      </w:r>
      <w:r w:rsidR="00DD778E">
        <w:t>Pension Fund Office</w:t>
      </w:r>
      <w:r>
        <w:rPr>
          <w:spacing w:val="-10"/>
        </w:rPr>
        <w:t xml:space="preserve"> </w:t>
      </w:r>
      <w:r>
        <w:t>and</w:t>
      </w:r>
      <w:r>
        <w:rPr>
          <w:spacing w:val="-13"/>
        </w:rPr>
        <w:t xml:space="preserve"> </w:t>
      </w:r>
      <w:r>
        <w:t>they</w:t>
      </w:r>
      <w:r>
        <w:rPr>
          <w:spacing w:val="-12"/>
        </w:rPr>
        <w:t xml:space="preserve"> </w:t>
      </w:r>
      <w:r>
        <w:t>are</w:t>
      </w:r>
      <w:r>
        <w:rPr>
          <w:spacing w:val="-10"/>
        </w:rPr>
        <w:t xml:space="preserve"> </w:t>
      </w:r>
      <w:r>
        <w:t>encouraged</w:t>
      </w:r>
      <w:r>
        <w:rPr>
          <w:spacing w:val="-11"/>
        </w:rPr>
        <w:t xml:space="preserve"> </w:t>
      </w:r>
      <w:r>
        <w:t>to</w:t>
      </w:r>
      <w:r>
        <w:rPr>
          <w:spacing w:val="-15"/>
        </w:rPr>
        <w:t xml:space="preserve"> </w:t>
      </w:r>
      <w:r>
        <w:t>give</w:t>
      </w:r>
      <w:r>
        <w:rPr>
          <w:spacing w:val="-10"/>
        </w:rPr>
        <w:t xml:space="preserve"> </w:t>
      </w:r>
      <w:r>
        <w:t>feedback</w:t>
      </w:r>
      <w:r>
        <w:rPr>
          <w:spacing w:val="-10"/>
        </w:rPr>
        <w:t xml:space="preserve"> </w:t>
      </w:r>
      <w:r>
        <w:t>in</w:t>
      </w:r>
      <w:r>
        <w:rPr>
          <w:spacing w:val="-10"/>
        </w:rPr>
        <w:t xml:space="preserve"> </w:t>
      </w:r>
      <w:r>
        <w:t>the</w:t>
      </w:r>
      <w:r>
        <w:rPr>
          <w:spacing w:val="-11"/>
        </w:rPr>
        <w:t xml:space="preserve"> </w:t>
      </w:r>
      <w:r>
        <w:t>annual</w:t>
      </w:r>
      <w:r>
        <w:rPr>
          <w:spacing w:val="-14"/>
        </w:rPr>
        <w:t xml:space="preserve"> </w:t>
      </w:r>
      <w:r>
        <w:t>members’</w:t>
      </w:r>
      <w:r>
        <w:rPr>
          <w:spacing w:val="-11"/>
        </w:rPr>
        <w:t xml:space="preserve"> </w:t>
      </w:r>
      <w:r>
        <w:t>newsletter.</w:t>
      </w:r>
      <w:r>
        <w:rPr>
          <w:spacing w:val="-11"/>
        </w:rPr>
        <w:t xml:space="preserve"> </w:t>
      </w:r>
      <w:r>
        <w:t>The</w:t>
      </w:r>
      <w:r>
        <w:rPr>
          <w:spacing w:val="-13"/>
        </w:rPr>
        <w:t xml:space="preserve"> </w:t>
      </w:r>
      <w:r>
        <w:t>Trustee keeps under review the level of engagement with members and the opportunities for feedback from members. The presence of a number of member-nominated Trustee Directors on the Trustee Board is also helpful in this regard.</w:t>
      </w:r>
    </w:p>
    <w:p w14:paraId="533F5EE6" w14:textId="77777777" w:rsidR="00AB3475" w:rsidRDefault="00AB3475">
      <w:pPr>
        <w:pStyle w:val="BodyText"/>
      </w:pPr>
    </w:p>
    <w:p w14:paraId="533F5EE7" w14:textId="77777777" w:rsidR="00AB3475" w:rsidRDefault="00AB3475">
      <w:pPr>
        <w:pStyle w:val="BodyText"/>
        <w:spacing w:before="252"/>
      </w:pPr>
    </w:p>
    <w:p w14:paraId="533F5EE8" w14:textId="62796147" w:rsidR="00AB3475" w:rsidRDefault="00A853B3">
      <w:pPr>
        <w:pStyle w:val="BodyText"/>
        <w:ind w:left="199" w:right="558"/>
        <w:jc w:val="both"/>
      </w:pPr>
      <w:r>
        <w:t>Signed</w:t>
      </w:r>
      <w:r>
        <w:rPr>
          <w:spacing w:val="-6"/>
        </w:rPr>
        <w:t xml:space="preserve"> </w:t>
      </w:r>
      <w:r>
        <w:t>on</w:t>
      </w:r>
      <w:r>
        <w:rPr>
          <w:spacing w:val="-7"/>
        </w:rPr>
        <w:t xml:space="preserve"> </w:t>
      </w:r>
      <w:r>
        <w:t>behalf</w:t>
      </w:r>
      <w:r>
        <w:rPr>
          <w:spacing w:val="-3"/>
        </w:rPr>
        <w:t xml:space="preserve"> </w:t>
      </w:r>
      <w:r>
        <w:t>of</w:t>
      </w:r>
      <w:r>
        <w:rPr>
          <w:spacing w:val="-5"/>
        </w:rPr>
        <w:t xml:space="preserve"> </w:t>
      </w:r>
      <w:r>
        <w:t>the</w:t>
      </w:r>
      <w:r>
        <w:rPr>
          <w:spacing w:val="-9"/>
        </w:rPr>
        <w:t xml:space="preserve"> </w:t>
      </w:r>
      <w:r>
        <w:t>Trustee</w:t>
      </w:r>
      <w:r>
        <w:rPr>
          <w:spacing w:val="-7"/>
        </w:rPr>
        <w:t xml:space="preserve"> </w:t>
      </w:r>
      <w:r>
        <w:t>of</w:t>
      </w:r>
      <w:r>
        <w:rPr>
          <w:spacing w:val="-5"/>
        </w:rPr>
        <w:t xml:space="preserve"> </w:t>
      </w:r>
      <w:r>
        <w:t>the</w:t>
      </w:r>
      <w:r>
        <w:rPr>
          <w:spacing w:val="-6"/>
        </w:rPr>
        <w:t xml:space="preserve"> </w:t>
      </w:r>
      <w:r w:rsidR="005A7F68">
        <w:t>Imperial Tobacco Pension Fund</w:t>
      </w:r>
      <w:r>
        <w:rPr>
          <w:spacing w:val="-6"/>
        </w:rPr>
        <w:t xml:space="preserve"> </w:t>
      </w:r>
      <w:r>
        <w:t>by</w:t>
      </w:r>
      <w:r>
        <w:rPr>
          <w:spacing w:val="-9"/>
        </w:rPr>
        <w:t xml:space="preserve"> </w:t>
      </w:r>
      <w:r>
        <w:t>the</w:t>
      </w:r>
      <w:r>
        <w:rPr>
          <w:spacing w:val="-7"/>
        </w:rPr>
        <w:t xml:space="preserve"> </w:t>
      </w:r>
      <w:r>
        <w:t>Chair</w:t>
      </w:r>
      <w:r>
        <w:rPr>
          <w:spacing w:val="-5"/>
        </w:rPr>
        <w:t xml:space="preserve"> </w:t>
      </w:r>
      <w:r>
        <w:t>of the Trustee</w:t>
      </w:r>
    </w:p>
    <w:p w14:paraId="533F5EE9" w14:textId="77777777" w:rsidR="00AB3475" w:rsidRDefault="00AB3475">
      <w:pPr>
        <w:pStyle w:val="BodyText"/>
        <w:spacing w:before="244"/>
      </w:pPr>
    </w:p>
    <w:p w14:paraId="24C12FC9" w14:textId="77777777" w:rsidR="00077932" w:rsidRDefault="00077932">
      <w:pPr>
        <w:pStyle w:val="BodyText"/>
        <w:spacing w:before="244"/>
      </w:pPr>
    </w:p>
    <w:p w14:paraId="61F022A9" w14:textId="77777777" w:rsidR="00077932" w:rsidRDefault="00077932">
      <w:pPr>
        <w:pStyle w:val="BodyText"/>
        <w:spacing w:before="244"/>
      </w:pPr>
    </w:p>
    <w:p w14:paraId="533F5EEA" w14:textId="11727E6E" w:rsidR="00AB3475" w:rsidRDefault="00EB7C44">
      <w:pPr>
        <w:pStyle w:val="BodyText"/>
        <w:tabs>
          <w:tab w:val="left" w:pos="1901"/>
        </w:tabs>
        <w:ind w:left="199"/>
        <w:jc w:val="both"/>
      </w:pPr>
      <w:r>
        <w:t>Da</w:t>
      </w:r>
      <w:r w:rsidR="00A8070D">
        <w:t>l</w:t>
      </w:r>
      <w:r>
        <w:t xml:space="preserve">riada Trustees </w:t>
      </w:r>
      <w:r w:rsidR="005B2AC7">
        <w:t xml:space="preserve">Limited, represented by </w:t>
      </w:r>
      <w:r w:rsidR="005A7F68">
        <w:t xml:space="preserve">T Lukic </w:t>
      </w:r>
      <w:r>
        <w:tab/>
        <w:t>Date:</w:t>
      </w:r>
      <w:r>
        <w:rPr>
          <w:spacing w:val="-2"/>
        </w:rPr>
        <w:t xml:space="preserve"> </w:t>
      </w:r>
      <w:r w:rsidR="005A7F68">
        <w:t xml:space="preserve">  </w:t>
      </w:r>
      <w:r w:rsidR="00077932">
        <w:t xml:space="preserve">   </w:t>
      </w:r>
      <w:r w:rsidR="005A7F68">
        <w:t>June 2025</w:t>
      </w:r>
    </w:p>
    <w:p w14:paraId="2CCBB688" w14:textId="77777777" w:rsidR="00427EC9" w:rsidRDefault="00427EC9">
      <w:pPr>
        <w:pStyle w:val="BodyText"/>
        <w:tabs>
          <w:tab w:val="left" w:pos="1901"/>
        </w:tabs>
        <w:ind w:left="199"/>
        <w:jc w:val="both"/>
      </w:pPr>
    </w:p>
    <w:p w14:paraId="3BFEE851" w14:textId="3D23318F" w:rsidR="00427EC9" w:rsidRDefault="00427EC9">
      <w:r>
        <w:br w:type="page"/>
      </w:r>
    </w:p>
    <w:p w14:paraId="0A311564" w14:textId="4CBFBD23" w:rsidR="00427EC9" w:rsidRPr="0073025D" w:rsidRDefault="00427EC9" w:rsidP="005F266A">
      <w:pPr>
        <w:pStyle w:val="BodyText"/>
        <w:tabs>
          <w:tab w:val="left" w:pos="1901"/>
        </w:tabs>
        <w:ind w:left="199" w:right="621"/>
        <w:jc w:val="both"/>
        <w:rPr>
          <w:b/>
          <w:bCs/>
        </w:rPr>
      </w:pPr>
      <w:r w:rsidRPr="0073025D">
        <w:rPr>
          <w:b/>
          <w:bCs/>
        </w:rPr>
        <w:t xml:space="preserve">ANNEX to the </w:t>
      </w:r>
      <w:r w:rsidR="00B5766D" w:rsidRPr="0073025D">
        <w:rPr>
          <w:b/>
          <w:bCs/>
        </w:rPr>
        <w:t xml:space="preserve">annual statement regarding governance of the Defined </w:t>
      </w:r>
      <w:r w:rsidR="00936D1C" w:rsidRPr="0073025D">
        <w:rPr>
          <w:b/>
          <w:bCs/>
        </w:rPr>
        <w:t xml:space="preserve">Contributions funds. </w:t>
      </w:r>
    </w:p>
    <w:p w14:paraId="58EDE0E3" w14:textId="77777777" w:rsidR="00936D1C" w:rsidRDefault="00936D1C">
      <w:pPr>
        <w:pStyle w:val="BodyText"/>
        <w:tabs>
          <w:tab w:val="left" w:pos="1901"/>
        </w:tabs>
        <w:ind w:left="199"/>
        <w:jc w:val="both"/>
      </w:pPr>
    </w:p>
    <w:p w14:paraId="0FABAFF6" w14:textId="2781E4B2" w:rsidR="00936D1C" w:rsidRDefault="00936D1C" w:rsidP="009B2A0E">
      <w:pPr>
        <w:pStyle w:val="BodyText"/>
        <w:tabs>
          <w:tab w:val="left" w:pos="1901"/>
        </w:tabs>
        <w:ind w:left="199" w:right="526"/>
        <w:jc w:val="both"/>
      </w:pPr>
      <w:r>
        <w:t xml:space="preserve">For part of the period covered by the statement, the default arrangement was </w:t>
      </w:r>
      <w:r w:rsidR="00FB7ACE">
        <w:t>managed by Aegon.  This default arrangement is no long</w:t>
      </w:r>
      <w:r w:rsidR="007E5271">
        <w:t>er</w:t>
      </w:r>
      <w:r w:rsidR="00FB7ACE">
        <w:t xml:space="preserve"> available to members and no money </w:t>
      </w:r>
      <w:r w:rsidR="007E5271">
        <w:t>has been</w:t>
      </w:r>
      <w:r w:rsidR="00FB7ACE">
        <w:t xml:space="preserve"> invested in this arrangement</w:t>
      </w:r>
      <w:r w:rsidR="0089281D">
        <w:t xml:space="preserve"> since </w:t>
      </w:r>
      <w:r w:rsidR="0089281D" w:rsidRPr="001A0FDA">
        <w:t>8 January</w:t>
      </w:r>
      <w:r w:rsidR="0089281D">
        <w:t xml:space="preserve"> 2025.  </w:t>
      </w:r>
      <w:r w:rsidR="005A5671">
        <w:t xml:space="preserve">For compliance purposes information on the </w:t>
      </w:r>
      <w:r w:rsidR="0022525D">
        <w:t xml:space="preserve">net investment returns for the </w:t>
      </w:r>
      <w:r w:rsidR="005A5671">
        <w:t>Aegon default arrangement is shown here.</w:t>
      </w:r>
      <w:r w:rsidR="004E156E">
        <w:t xml:space="preserve"> We have not provided detail on the transaction costs</w:t>
      </w:r>
      <w:r w:rsidR="006C34FD">
        <w:t xml:space="preserve"> for the </w:t>
      </w:r>
      <w:r w:rsidR="002417C4">
        <w:t xml:space="preserve">historic </w:t>
      </w:r>
      <w:r w:rsidR="006C34FD">
        <w:t xml:space="preserve">default arrangement managed by Aegon, for detail on transaction costs for your current </w:t>
      </w:r>
      <w:r w:rsidR="00B8128D">
        <w:t xml:space="preserve">default, managed by L&amp;G, please see </w:t>
      </w:r>
      <w:r w:rsidR="00F35A95">
        <w:t>main section of the statement</w:t>
      </w:r>
      <w:r w:rsidR="00B8128D">
        <w:t>.</w:t>
      </w:r>
    </w:p>
    <w:p w14:paraId="3CC37593" w14:textId="77777777" w:rsidR="005A5671" w:rsidRDefault="005A5671" w:rsidP="009B2A0E">
      <w:pPr>
        <w:pStyle w:val="BodyText"/>
        <w:tabs>
          <w:tab w:val="left" w:pos="1901"/>
        </w:tabs>
        <w:ind w:left="199" w:right="526"/>
        <w:jc w:val="both"/>
      </w:pPr>
    </w:p>
    <w:p w14:paraId="70170C2E" w14:textId="51DBB8A6" w:rsidR="005A5671" w:rsidRDefault="005A5671" w:rsidP="009B2A0E">
      <w:pPr>
        <w:pStyle w:val="BodyText"/>
        <w:tabs>
          <w:tab w:val="left" w:pos="1901"/>
        </w:tabs>
        <w:ind w:left="199" w:right="526"/>
        <w:jc w:val="both"/>
      </w:pPr>
      <w:r>
        <w:t xml:space="preserve">The information available relates to the year ending 31 </w:t>
      </w:r>
      <w:r w:rsidR="003577F0">
        <w:t>December 202</w:t>
      </w:r>
      <w:r w:rsidR="002C4E49">
        <w:t>4</w:t>
      </w:r>
      <w:r>
        <w:t xml:space="preserve">.  </w:t>
      </w:r>
    </w:p>
    <w:p w14:paraId="138CE4AE" w14:textId="77777777" w:rsidR="005A5671" w:rsidRDefault="005A5671" w:rsidP="009B2A0E">
      <w:pPr>
        <w:pStyle w:val="BodyText"/>
        <w:tabs>
          <w:tab w:val="left" w:pos="1901"/>
        </w:tabs>
        <w:ind w:left="199" w:right="526"/>
        <w:jc w:val="both"/>
      </w:pPr>
    </w:p>
    <w:p w14:paraId="3369058D" w14:textId="7F714C6B" w:rsidR="005A5671" w:rsidRDefault="004E274F" w:rsidP="009B2A0E">
      <w:pPr>
        <w:pStyle w:val="BodyText"/>
        <w:tabs>
          <w:tab w:val="left" w:pos="1901"/>
        </w:tabs>
        <w:ind w:left="199" w:right="526"/>
        <w:jc w:val="both"/>
        <w:rPr>
          <w:rFonts w:ascii="Times New Roman" w:eastAsiaTheme="minorHAnsi" w:hAnsi="Times New Roman"/>
          <w:color w:val="000000" w:themeColor="text1"/>
          <w:szCs w:val="24"/>
          <w14:ligatures w14:val="standardContextual"/>
        </w:rPr>
      </w:pPr>
      <w:r w:rsidRPr="009A300C">
        <w:rPr>
          <w:rFonts w:ascii="Times New Roman" w:eastAsiaTheme="minorHAnsi" w:hAnsi="Times New Roman"/>
          <w:color w:val="000000" w:themeColor="text1"/>
          <w:szCs w:val="24"/>
          <w14:ligatures w14:val="standardContextual"/>
        </w:rPr>
        <w:t xml:space="preserve">The default investment option has an asset allocation that initially aims to </w:t>
      </w:r>
      <w:proofErr w:type="spellStart"/>
      <w:r w:rsidRPr="009A300C">
        <w:rPr>
          <w:rFonts w:ascii="Times New Roman" w:eastAsiaTheme="minorHAnsi" w:hAnsi="Times New Roman"/>
          <w:color w:val="000000" w:themeColor="text1"/>
          <w:szCs w:val="24"/>
          <w14:ligatures w14:val="standardContextual"/>
        </w:rPr>
        <w:t>maximise</w:t>
      </w:r>
      <w:proofErr w:type="spellEnd"/>
      <w:r w:rsidRPr="009A300C">
        <w:rPr>
          <w:rFonts w:ascii="Times New Roman" w:eastAsiaTheme="minorHAnsi" w:hAnsi="Times New Roman"/>
          <w:color w:val="000000" w:themeColor="text1"/>
          <w:szCs w:val="24"/>
          <w14:ligatures w14:val="standardContextual"/>
        </w:rPr>
        <w:t xml:space="preserve"> returns, at an appropriate level of risk, for the majority of the members’ working life before switching as retirement approaches into diversified funds, to target income drawdown. In the growth phase the default investment option invests in equities and other growth-seeking assets that will provide growth with some downside protection and some protection against inflation erosion.  It then seeks to reduce investment risk, with potentially lower growth, as a member approaches retirement.</w:t>
      </w:r>
    </w:p>
    <w:p w14:paraId="7C0C0CA2" w14:textId="77777777" w:rsidR="00DB7C98" w:rsidRDefault="00DB7C98" w:rsidP="009B2A0E">
      <w:pPr>
        <w:pStyle w:val="BodyText"/>
        <w:tabs>
          <w:tab w:val="left" w:pos="1901"/>
        </w:tabs>
        <w:ind w:left="199" w:right="526"/>
        <w:jc w:val="both"/>
        <w:rPr>
          <w:rFonts w:ascii="Times New Roman" w:eastAsiaTheme="minorHAnsi" w:hAnsi="Times New Roman"/>
          <w:color w:val="000000" w:themeColor="text1"/>
          <w:szCs w:val="24"/>
          <w14:ligatures w14:val="standardContextual"/>
        </w:rPr>
      </w:pPr>
    </w:p>
    <w:p w14:paraId="3D025297" w14:textId="148F8EE3" w:rsidR="00DB7C98" w:rsidRDefault="00DB7C98" w:rsidP="009B2A0E">
      <w:pPr>
        <w:pStyle w:val="BodyText"/>
        <w:tabs>
          <w:tab w:val="left" w:pos="1901"/>
        </w:tabs>
        <w:ind w:left="199" w:right="526"/>
        <w:jc w:val="both"/>
        <w:rPr>
          <w:rFonts w:ascii="Times New Roman" w:eastAsiaTheme="minorHAnsi" w:hAnsi="Times New Roman"/>
          <w:color w:val="000000" w:themeColor="text1"/>
          <w:szCs w:val="24"/>
          <w14:ligatures w14:val="standardContextual"/>
        </w:rPr>
      </w:pPr>
      <w:r>
        <w:rPr>
          <w:rFonts w:ascii="Times New Roman" w:eastAsiaTheme="minorHAnsi" w:hAnsi="Times New Roman"/>
          <w:color w:val="000000" w:themeColor="text1"/>
          <w:szCs w:val="24"/>
          <w14:ligatures w14:val="standardContextual"/>
        </w:rPr>
        <w:t xml:space="preserve">The funds used in the default investment option, the Variable Income Lifecyle are </w:t>
      </w:r>
      <w:r w:rsidR="002A5D43">
        <w:rPr>
          <w:rFonts w:ascii="Times New Roman" w:eastAsiaTheme="minorHAnsi" w:hAnsi="Times New Roman"/>
          <w:color w:val="000000" w:themeColor="text1"/>
          <w:szCs w:val="24"/>
          <w14:ligatures w14:val="standardContextual"/>
        </w:rPr>
        <w:t xml:space="preserve">listed in the table below. </w:t>
      </w:r>
    </w:p>
    <w:p w14:paraId="7E3C186B" w14:textId="77777777" w:rsidR="004E274F" w:rsidRDefault="004E274F">
      <w:pPr>
        <w:pStyle w:val="BodyText"/>
        <w:tabs>
          <w:tab w:val="left" w:pos="1901"/>
        </w:tabs>
        <w:ind w:left="199"/>
        <w:jc w:val="both"/>
        <w:rPr>
          <w:rFonts w:ascii="Times New Roman" w:eastAsiaTheme="minorHAnsi" w:hAnsi="Times New Roman"/>
          <w:color w:val="000000" w:themeColor="text1"/>
          <w:szCs w:val="24"/>
          <w14:ligatures w14:val="standardContextual"/>
        </w:rPr>
      </w:pPr>
    </w:p>
    <w:tbl>
      <w:tblPr>
        <w:tblW w:w="9067" w:type="dxa"/>
        <w:tblLayout w:type="fixed"/>
        <w:tblLook w:val="04A0" w:firstRow="1" w:lastRow="0" w:firstColumn="1" w:lastColumn="0" w:noHBand="0" w:noVBand="1"/>
      </w:tblPr>
      <w:tblGrid>
        <w:gridCol w:w="2263"/>
        <w:gridCol w:w="1134"/>
        <w:gridCol w:w="1134"/>
        <w:gridCol w:w="1134"/>
        <w:gridCol w:w="1134"/>
        <w:gridCol w:w="1134"/>
        <w:gridCol w:w="1134"/>
      </w:tblGrid>
      <w:tr w:rsidR="00E34DBA" w:rsidRPr="008F5684" w14:paraId="79103D9B" w14:textId="77777777">
        <w:trPr>
          <w:trHeight w:val="381"/>
        </w:trPr>
        <w:tc>
          <w:tcPr>
            <w:tcW w:w="2263" w:type="dxa"/>
            <w:vMerge w:val="restart"/>
            <w:tcBorders>
              <w:top w:val="single" w:sz="4" w:space="0" w:color="000000"/>
              <w:left w:val="single" w:sz="4" w:space="0" w:color="000000"/>
              <w:bottom w:val="single" w:sz="4" w:space="0" w:color="000000"/>
              <w:right w:val="nil"/>
            </w:tcBorders>
            <w:shd w:val="clear" w:color="000000" w:fill="FFFFFF"/>
            <w:vAlign w:val="center"/>
            <w:hideMark/>
          </w:tcPr>
          <w:p w14:paraId="74B181E5" w14:textId="77777777" w:rsidR="00E34DBA" w:rsidRPr="008F5684" w:rsidRDefault="00E34DBA" w:rsidP="00770C62">
            <w:pPr>
              <w:tabs>
                <w:tab w:val="left" w:pos="9214"/>
              </w:tabs>
              <w:ind w:left="176"/>
              <w:rPr>
                <w:rFonts w:asciiTheme="majorBidi" w:hAnsiTheme="majorBidi" w:cstheme="majorBidi"/>
                <w:color w:val="000000"/>
                <w:lang w:eastAsia="zh-CN"/>
              </w:rPr>
            </w:pPr>
            <w:r w:rsidRPr="008F5684">
              <w:rPr>
                <w:rFonts w:asciiTheme="majorBidi" w:hAnsiTheme="majorBidi" w:cstheme="majorBidi"/>
                <w:color w:val="000000"/>
                <w:lang w:eastAsia="zh-CN"/>
              </w:rPr>
              <w:t>Fund</w:t>
            </w:r>
          </w:p>
        </w:tc>
        <w:tc>
          <w:tcPr>
            <w:tcW w:w="1134" w:type="dxa"/>
            <w:tcBorders>
              <w:top w:val="single" w:sz="4" w:space="0" w:color="auto"/>
              <w:left w:val="single" w:sz="4" w:space="0" w:color="auto"/>
              <w:bottom w:val="nil"/>
              <w:right w:val="single" w:sz="4" w:space="0" w:color="auto"/>
            </w:tcBorders>
            <w:shd w:val="clear" w:color="000000" w:fill="FFFFFF"/>
            <w:hideMark/>
          </w:tcPr>
          <w:p w14:paraId="58D11AD6" w14:textId="77777777" w:rsidR="00E34DBA" w:rsidRPr="008F5684" w:rsidRDefault="00E34DBA">
            <w:pPr>
              <w:tabs>
                <w:tab w:val="left" w:pos="9214"/>
              </w:tabs>
              <w:jc w:val="center"/>
              <w:rPr>
                <w:rFonts w:asciiTheme="majorBidi" w:hAnsiTheme="majorBidi" w:cstheme="majorBidi"/>
                <w:color w:val="000000"/>
                <w:sz w:val="18"/>
                <w:szCs w:val="18"/>
                <w:lang w:eastAsia="zh-CN"/>
              </w:rPr>
            </w:pPr>
            <w:r w:rsidRPr="008F5684">
              <w:rPr>
                <w:rFonts w:asciiTheme="majorBidi" w:hAnsiTheme="majorBidi" w:cstheme="majorBidi"/>
                <w:color w:val="000000"/>
                <w:sz w:val="18"/>
                <w:szCs w:val="18"/>
                <w:lang w:eastAsia="zh-CN"/>
              </w:rPr>
              <w:t>Actual</w:t>
            </w:r>
          </w:p>
        </w:tc>
        <w:tc>
          <w:tcPr>
            <w:tcW w:w="1134" w:type="dxa"/>
            <w:tcBorders>
              <w:top w:val="single" w:sz="4" w:space="0" w:color="auto"/>
              <w:left w:val="nil"/>
              <w:bottom w:val="nil"/>
              <w:right w:val="single" w:sz="4" w:space="0" w:color="auto"/>
            </w:tcBorders>
            <w:shd w:val="clear" w:color="000000" w:fill="FFFFFF"/>
            <w:hideMark/>
          </w:tcPr>
          <w:p w14:paraId="68FF6C44" w14:textId="77777777" w:rsidR="00E34DBA" w:rsidRPr="008F5684" w:rsidRDefault="00E34DBA">
            <w:pPr>
              <w:tabs>
                <w:tab w:val="left" w:pos="9214"/>
              </w:tabs>
              <w:jc w:val="center"/>
              <w:rPr>
                <w:rFonts w:asciiTheme="majorBidi" w:hAnsiTheme="majorBidi" w:cstheme="majorBidi"/>
                <w:color w:val="000000"/>
                <w:sz w:val="18"/>
                <w:szCs w:val="18"/>
                <w:lang w:eastAsia="zh-CN"/>
              </w:rPr>
            </w:pPr>
            <w:r w:rsidRPr="008F5684">
              <w:rPr>
                <w:rFonts w:asciiTheme="majorBidi" w:hAnsiTheme="majorBidi" w:cstheme="majorBidi"/>
                <w:color w:val="000000"/>
                <w:sz w:val="18"/>
                <w:szCs w:val="18"/>
                <w:lang w:eastAsia="zh-CN"/>
              </w:rPr>
              <w:t>Benchmark</w:t>
            </w:r>
          </w:p>
        </w:tc>
        <w:tc>
          <w:tcPr>
            <w:tcW w:w="1134" w:type="dxa"/>
            <w:tcBorders>
              <w:top w:val="single" w:sz="4" w:space="0" w:color="auto"/>
              <w:left w:val="nil"/>
              <w:bottom w:val="nil"/>
              <w:right w:val="single" w:sz="4" w:space="0" w:color="auto"/>
            </w:tcBorders>
            <w:shd w:val="clear" w:color="000000" w:fill="FFFFFF"/>
            <w:hideMark/>
          </w:tcPr>
          <w:p w14:paraId="29E95574" w14:textId="77777777" w:rsidR="00E34DBA" w:rsidRPr="008F5684" w:rsidRDefault="00E34DBA">
            <w:pPr>
              <w:tabs>
                <w:tab w:val="left" w:pos="9214"/>
              </w:tabs>
              <w:jc w:val="center"/>
              <w:rPr>
                <w:rFonts w:asciiTheme="majorBidi" w:hAnsiTheme="majorBidi" w:cstheme="majorBidi"/>
                <w:color w:val="000000"/>
                <w:sz w:val="18"/>
                <w:szCs w:val="18"/>
                <w:lang w:eastAsia="zh-CN"/>
              </w:rPr>
            </w:pPr>
            <w:r w:rsidRPr="008F5684">
              <w:rPr>
                <w:rFonts w:asciiTheme="majorBidi" w:hAnsiTheme="majorBidi" w:cstheme="majorBidi"/>
                <w:color w:val="000000"/>
                <w:sz w:val="18"/>
                <w:szCs w:val="18"/>
                <w:lang w:eastAsia="zh-CN"/>
              </w:rPr>
              <w:t>Actual</w:t>
            </w:r>
          </w:p>
        </w:tc>
        <w:tc>
          <w:tcPr>
            <w:tcW w:w="1134" w:type="dxa"/>
            <w:tcBorders>
              <w:top w:val="single" w:sz="4" w:space="0" w:color="auto"/>
              <w:left w:val="nil"/>
              <w:bottom w:val="nil"/>
              <w:right w:val="single" w:sz="4" w:space="0" w:color="auto"/>
            </w:tcBorders>
            <w:shd w:val="clear" w:color="000000" w:fill="FFFFFF"/>
            <w:hideMark/>
          </w:tcPr>
          <w:p w14:paraId="77801A6E" w14:textId="77777777" w:rsidR="00E34DBA" w:rsidRPr="008F5684" w:rsidRDefault="00E34DBA">
            <w:pPr>
              <w:tabs>
                <w:tab w:val="left" w:pos="9214"/>
              </w:tabs>
              <w:jc w:val="center"/>
              <w:rPr>
                <w:rFonts w:asciiTheme="majorBidi" w:hAnsiTheme="majorBidi" w:cstheme="majorBidi"/>
                <w:color w:val="000000"/>
                <w:sz w:val="18"/>
                <w:szCs w:val="18"/>
                <w:lang w:eastAsia="zh-CN"/>
              </w:rPr>
            </w:pPr>
            <w:r w:rsidRPr="008F5684">
              <w:rPr>
                <w:rFonts w:asciiTheme="majorBidi" w:hAnsiTheme="majorBidi" w:cstheme="majorBidi"/>
                <w:color w:val="000000"/>
                <w:sz w:val="18"/>
                <w:szCs w:val="18"/>
                <w:lang w:eastAsia="zh-CN"/>
              </w:rPr>
              <w:t>Benchmark</w:t>
            </w:r>
          </w:p>
        </w:tc>
        <w:tc>
          <w:tcPr>
            <w:tcW w:w="1134" w:type="dxa"/>
            <w:tcBorders>
              <w:top w:val="single" w:sz="4" w:space="0" w:color="auto"/>
              <w:left w:val="nil"/>
              <w:bottom w:val="nil"/>
              <w:right w:val="single" w:sz="4" w:space="0" w:color="auto"/>
            </w:tcBorders>
            <w:shd w:val="clear" w:color="000000" w:fill="FFFFFF"/>
            <w:hideMark/>
          </w:tcPr>
          <w:p w14:paraId="0882DF42" w14:textId="77777777" w:rsidR="00E34DBA" w:rsidRPr="008F5684" w:rsidRDefault="00E34DBA">
            <w:pPr>
              <w:tabs>
                <w:tab w:val="left" w:pos="9214"/>
              </w:tabs>
              <w:jc w:val="center"/>
              <w:rPr>
                <w:rFonts w:asciiTheme="majorBidi" w:hAnsiTheme="majorBidi" w:cstheme="majorBidi"/>
                <w:color w:val="000000"/>
                <w:sz w:val="18"/>
                <w:szCs w:val="18"/>
                <w:lang w:eastAsia="zh-CN"/>
              </w:rPr>
            </w:pPr>
            <w:r w:rsidRPr="008F5684">
              <w:rPr>
                <w:rFonts w:asciiTheme="majorBidi" w:hAnsiTheme="majorBidi" w:cstheme="majorBidi"/>
                <w:color w:val="000000"/>
                <w:sz w:val="18"/>
                <w:szCs w:val="18"/>
                <w:lang w:eastAsia="zh-CN"/>
              </w:rPr>
              <w:t>Actual</w:t>
            </w:r>
          </w:p>
        </w:tc>
        <w:tc>
          <w:tcPr>
            <w:tcW w:w="1134" w:type="dxa"/>
            <w:tcBorders>
              <w:top w:val="single" w:sz="4" w:space="0" w:color="auto"/>
              <w:left w:val="nil"/>
              <w:bottom w:val="nil"/>
              <w:right w:val="single" w:sz="4" w:space="0" w:color="auto"/>
            </w:tcBorders>
            <w:shd w:val="clear" w:color="000000" w:fill="FFFFFF"/>
            <w:hideMark/>
          </w:tcPr>
          <w:p w14:paraId="1FBB8CAB" w14:textId="77777777" w:rsidR="00E34DBA" w:rsidRPr="008F5684" w:rsidRDefault="00E34DBA">
            <w:pPr>
              <w:tabs>
                <w:tab w:val="left" w:pos="9214"/>
              </w:tabs>
              <w:jc w:val="center"/>
              <w:rPr>
                <w:rFonts w:asciiTheme="majorBidi" w:hAnsiTheme="majorBidi" w:cstheme="majorBidi"/>
                <w:color w:val="000000"/>
                <w:sz w:val="18"/>
                <w:szCs w:val="18"/>
                <w:lang w:eastAsia="zh-CN"/>
              </w:rPr>
            </w:pPr>
            <w:r w:rsidRPr="008F5684">
              <w:rPr>
                <w:rFonts w:asciiTheme="majorBidi" w:hAnsiTheme="majorBidi" w:cstheme="majorBidi"/>
                <w:color w:val="000000"/>
                <w:sz w:val="18"/>
                <w:szCs w:val="18"/>
                <w:lang w:eastAsia="zh-CN"/>
              </w:rPr>
              <w:t>Benchmark</w:t>
            </w:r>
          </w:p>
        </w:tc>
      </w:tr>
      <w:tr w:rsidR="00E34DBA" w:rsidRPr="008F5684" w14:paraId="5BE9AAE7" w14:textId="77777777">
        <w:trPr>
          <w:trHeight w:val="381"/>
        </w:trPr>
        <w:tc>
          <w:tcPr>
            <w:tcW w:w="2263" w:type="dxa"/>
            <w:vMerge/>
            <w:tcBorders>
              <w:top w:val="single" w:sz="4" w:space="0" w:color="000000"/>
              <w:left w:val="single" w:sz="4" w:space="0" w:color="000000"/>
              <w:bottom w:val="single" w:sz="4" w:space="0" w:color="000000"/>
              <w:right w:val="nil"/>
            </w:tcBorders>
            <w:vAlign w:val="center"/>
            <w:hideMark/>
          </w:tcPr>
          <w:p w14:paraId="7F185A11" w14:textId="77777777" w:rsidR="00E34DBA" w:rsidRPr="008F5684" w:rsidRDefault="00E34DBA">
            <w:pPr>
              <w:tabs>
                <w:tab w:val="left" w:pos="9214"/>
              </w:tabs>
              <w:rPr>
                <w:rFonts w:asciiTheme="majorBidi" w:hAnsiTheme="majorBidi" w:cstheme="majorBidi"/>
                <w:color w:val="000000"/>
                <w:lang w:eastAsia="zh-CN"/>
              </w:rPr>
            </w:pPr>
          </w:p>
        </w:tc>
        <w:tc>
          <w:tcPr>
            <w:tcW w:w="1134" w:type="dxa"/>
            <w:tcBorders>
              <w:top w:val="single" w:sz="4" w:space="0" w:color="auto"/>
              <w:left w:val="single" w:sz="4" w:space="0" w:color="auto"/>
              <w:bottom w:val="nil"/>
              <w:right w:val="single" w:sz="4" w:space="0" w:color="auto"/>
            </w:tcBorders>
            <w:shd w:val="clear" w:color="000000" w:fill="FFFFFF"/>
            <w:hideMark/>
          </w:tcPr>
          <w:p w14:paraId="64443AA1"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xml:space="preserve">1 </w:t>
            </w:r>
            <w:r>
              <w:rPr>
                <w:rFonts w:asciiTheme="majorBidi" w:hAnsiTheme="majorBidi" w:cstheme="majorBidi"/>
                <w:color w:val="000000"/>
                <w:lang w:eastAsia="zh-CN"/>
              </w:rPr>
              <w:t>y</w:t>
            </w:r>
            <w:r w:rsidRPr="008F5684">
              <w:rPr>
                <w:rFonts w:asciiTheme="majorBidi" w:hAnsiTheme="majorBidi" w:cstheme="majorBidi"/>
                <w:color w:val="000000"/>
                <w:lang w:eastAsia="zh-CN"/>
              </w:rPr>
              <w:t>ear</w:t>
            </w:r>
          </w:p>
        </w:tc>
        <w:tc>
          <w:tcPr>
            <w:tcW w:w="1134" w:type="dxa"/>
            <w:tcBorders>
              <w:top w:val="single" w:sz="4" w:space="0" w:color="auto"/>
              <w:left w:val="nil"/>
              <w:bottom w:val="nil"/>
              <w:right w:val="single" w:sz="4" w:space="0" w:color="auto"/>
            </w:tcBorders>
            <w:shd w:val="clear" w:color="000000" w:fill="FFFFFF"/>
            <w:hideMark/>
          </w:tcPr>
          <w:p w14:paraId="288A2774"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xml:space="preserve">1 </w:t>
            </w:r>
            <w:r>
              <w:rPr>
                <w:rFonts w:asciiTheme="majorBidi" w:hAnsiTheme="majorBidi" w:cstheme="majorBidi"/>
                <w:color w:val="000000"/>
                <w:lang w:eastAsia="zh-CN"/>
              </w:rPr>
              <w:t>y</w:t>
            </w:r>
            <w:r w:rsidRPr="008F5684">
              <w:rPr>
                <w:rFonts w:asciiTheme="majorBidi" w:hAnsiTheme="majorBidi" w:cstheme="majorBidi"/>
                <w:color w:val="000000"/>
                <w:lang w:eastAsia="zh-CN"/>
              </w:rPr>
              <w:t>ear</w:t>
            </w:r>
          </w:p>
        </w:tc>
        <w:tc>
          <w:tcPr>
            <w:tcW w:w="1134" w:type="dxa"/>
            <w:tcBorders>
              <w:top w:val="single" w:sz="4" w:space="0" w:color="auto"/>
              <w:left w:val="nil"/>
              <w:bottom w:val="nil"/>
              <w:right w:val="single" w:sz="4" w:space="0" w:color="auto"/>
            </w:tcBorders>
            <w:shd w:val="clear" w:color="000000" w:fill="FFFFFF"/>
            <w:hideMark/>
          </w:tcPr>
          <w:p w14:paraId="5718555F"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xml:space="preserve">3 </w:t>
            </w:r>
            <w:r>
              <w:rPr>
                <w:rFonts w:asciiTheme="majorBidi" w:hAnsiTheme="majorBidi" w:cstheme="majorBidi"/>
                <w:color w:val="000000"/>
                <w:lang w:eastAsia="zh-CN"/>
              </w:rPr>
              <w:t>y</w:t>
            </w:r>
            <w:r w:rsidRPr="008F5684">
              <w:rPr>
                <w:rFonts w:asciiTheme="majorBidi" w:hAnsiTheme="majorBidi" w:cstheme="majorBidi"/>
                <w:color w:val="000000"/>
                <w:lang w:eastAsia="zh-CN"/>
              </w:rPr>
              <w:t>ears</w:t>
            </w:r>
          </w:p>
        </w:tc>
        <w:tc>
          <w:tcPr>
            <w:tcW w:w="1134" w:type="dxa"/>
            <w:tcBorders>
              <w:top w:val="single" w:sz="4" w:space="0" w:color="auto"/>
              <w:left w:val="nil"/>
              <w:bottom w:val="nil"/>
              <w:right w:val="single" w:sz="4" w:space="0" w:color="auto"/>
            </w:tcBorders>
            <w:shd w:val="clear" w:color="000000" w:fill="FFFFFF"/>
            <w:hideMark/>
          </w:tcPr>
          <w:p w14:paraId="5B8FFB3F"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xml:space="preserve">3 </w:t>
            </w:r>
            <w:r>
              <w:rPr>
                <w:rFonts w:asciiTheme="majorBidi" w:hAnsiTheme="majorBidi" w:cstheme="majorBidi"/>
                <w:color w:val="000000"/>
                <w:lang w:eastAsia="zh-CN"/>
              </w:rPr>
              <w:t>y</w:t>
            </w:r>
            <w:r w:rsidRPr="008F5684">
              <w:rPr>
                <w:rFonts w:asciiTheme="majorBidi" w:hAnsiTheme="majorBidi" w:cstheme="majorBidi"/>
                <w:color w:val="000000"/>
                <w:lang w:eastAsia="zh-CN"/>
              </w:rPr>
              <w:t>ears</w:t>
            </w:r>
          </w:p>
        </w:tc>
        <w:tc>
          <w:tcPr>
            <w:tcW w:w="1134" w:type="dxa"/>
            <w:tcBorders>
              <w:top w:val="single" w:sz="4" w:space="0" w:color="auto"/>
              <w:left w:val="nil"/>
              <w:bottom w:val="nil"/>
              <w:right w:val="single" w:sz="4" w:space="0" w:color="auto"/>
            </w:tcBorders>
            <w:shd w:val="clear" w:color="000000" w:fill="FFFFFF"/>
            <w:hideMark/>
          </w:tcPr>
          <w:p w14:paraId="3DA682A5"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5 years</w:t>
            </w:r>
          </w:p>
        </w:tc>
        <w:tc>
          <w:tcPr>
            <w:tcW w:w="1134" w:type="dxa"/>
            <w:tcBorders>
              <w:top w:val="single" w:sz="4" w:space="0" w:color="auto"/>
              <w:left w:val="nil"/>
              <w:bottom w:val="nil"/>
              <w:right w:val="single" w:sz="4" w:space="0" w:color="auto"/>
            </w:tcBorders>
            <w:shd w:val="clear" w:color="000000" w:fill="FFFFFF"/>
            <w:hideMark/>
          </w:tcPr>
          <w:p w14:paraId="37EEB6DA"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5 years</w:t>
            </w:r>
          </w:p>
        </w:tc>
      </w:tr>
      <w:tr w:rsidR="00E34DBA" w:rsidRPr="008F5684" w14:paraId="20C525DC" w14:textId="77777777">
        <w:trPr>
          <w:trHeight w:val="360"/>
        </w:trPr>
        <w:tc>
          <w:tcPr>
            <w:tcW w:w="2263" w:type="dxa"/>
            <w:vMerge/>
            <w:tcBorders>
              <w:top w:val="single" w:sz="4" w:space="0" w:color="000000"/>
              <w:left w:val="single" w:sz="4" w:space="0" w:color="000000"/>
              <w:bottom w:val="single" w:sz="4" w:space="0" w:color="000000"/>
              <w:right w:val="nil"/>
            </w:tcBorders>
            <w:vAlign w:val="center"/>
            <w:hideMark/>
          </w:tcPr>
          <w:p w14:paraId="2E4E345D" w14:textId="77777777" w:rsidR="00E34DBA" w:rsidRPr="008F5684" w:rsidRDefault="00E34DBA">
            <w:pPr>
              <w:tabs>
                <w:tab w:val="left" w:pos="9214"/>
              </w:tabs>
              <w:rPr>
                <w:rFonts w:asciiTheme="majorBidi" w:hAnsiTheme="majorBidi" w:cstheme="majorBidi"/>
                <w:color w:val="000000"/>
                <w:lang w:eastAsia="zh-CN"/>
              </w:rPr>
            </w:pPr>
          </w:p>
        </w:tc>
        <w:tc>
          <w:tcPr>
            <w:tcW w:w="1134" w:type="dxa"/>
            <w:tcBorders>
              <w:top w:val="nil"/>
              <w:left w:val="single" w:sz="4" w:space="0" w:color="auto"/>
              <w:bottom w:val="single" w:sz="4" w:space="0" w:color="auto"/>
              <w:right w:val="single" w:sz="4" w:space="0" w:color="auto"/>
            </w:tcBorders>
            <w:shd w:val="clear" w:color="000000" w:fill="FFFFFF"/>
            <w:hideMark/>
          </w:tcPr>
          <w:p w14:paraId="093BA277"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p.a.)</w:t>
            </w:r>
          </w:p>
        </w:tc>
        <w:tc>
          <w:tcPr>
            <w:tcW w:w="1134" w:type="dxa"/>
            <w:tcBorders>
              <w:top w:val="nil"/>
              <w:left w:val="nil"/>
              <w:bottom w:val="single" w:sz="4" w:space="0" w:color="auto"/>
              <w:right w:val="single" w:sz="4" w:space="0" w:color="auto"/>
            </w:tcBorders>
            <w:shd w:val="clear" w:color="000000" w:fill="FFFFFF"/>
            <w:hideMark/>
          </w:tcPr>
          <w:p w14:paraId="4FD45811"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p.a.)</w:t>
            </w:r>
          </w:p>
        </w:tc>
        <w:tc>
          <w:tcPr>
            <w:tcW w:w="1134" w:type="dxa"/>
            <w:tcBorders>
              <w:top w:val="nil"/>
              <w:left w:val="nil"/>
              <w:bottom w:val="single" w:sz="4" w:space="0" w:color="auto"/>
              <w:right w:val="single" w:sz="4" w:space="0" w:color="auto"/>
            </w:tcBorders>
            <w:shd w:val="clear" w:color="000000" w:fill="FFFFFF"/>
            <w:hideMark/>
          </w:tcPr>
          <w:p w14:paraId="20435DCB"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p.a.)</w:t>
            </w:r>
          </w:p>
        </w:tc>
        <w:tc>
          <w:tcPr>
            <w:tcW w:w="1134" w:type="dxa"/>
            <w:tcBorders>
              <w:top w:val="nil"/>
              <w:left w:val="nil"/>
              <w:bottom w:val="single" w:sz="4" w:space="0" w:color="auto"/>
              <w:right w:val="single" w:sz="4" w:space="0" w:color="auto"/>
            </w:tcBorders>
            <w:shd w:val="clear" w:color="000000" w:fill="FFFFFF"/>
            <w:hideMark/>
          </w:tcPr>
          <w:p w14:paraId="5371F183"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p.a.)</w:t>
            </w:r>
          </w:p>
        </w:tc>
        <w:tc>
          <w:tcPr>
            <w:tcW w:w="1134" w:type="dxa"/>
            <w:tcBorders>
              <w:top w:val="nil"/>
              <w:left w:val="nil"/>
              <w:bottom w:val="single" w:sz="4" w:space="0" w:color="auto"/>
              <w:right w:val="single" w:sz="4" w:space="0" w:color="auto"/>
            </w:tcBorders>
            <w:shd w:val="clear" w:color="000000" w:fill="FFFFFF"/>
            <w:hideMark/>
          </w:tcPr>
          <w:p w14:paraId="554B1457"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p.a.)</w:t>
            </w:r>
          </w:p>
        </w:tc>
        <w:tc>
          <w:tcPr>
            <w:tcW w:w="1134" w:type="dxa"/>
            <w:tcBorders>
              <w:top w:val="nil"/>
              <w:left w:val="nil"/>
              <w:bottom w:val="single" w:sz="4" w:space="0" w:color="auto"/>
              <w:right w:val="single" w:sz="4" w:space="0" w:color="auto"/>
            </w:tcBorders>
            <w:shd w:val="clear" w:color="000000" w:fill="FFFFFF"/>
            <w:hideMark/>
          </w:tcPr>
          <w:p w14:paraId="3C584112" w14:textId="77777777" w:rsidR="00E34DBA" w:rsidRPr="008F5684" w:rsidRDefault="00E34DBA">
            <w:pPr>
              <w:tabs>
                <w:tab w:val="left" w:pos="9214"/>
              </w:tabs>
              <w:jc w:val="center"/>
              <w:rPr>
                <w:rFonts w:asciiTheme="majorBidi" w:hAnsiTheme="majorBidi" w:cstheme="majorBidi"/>
                <w:color w:val="000000"/>
                <w:lang w:eastAsia="zh-CN"/>
              </w:rPr>
            </w:pPr>
            <w:r w:rsidRPr="008F5684">
              <w:rPr>
                <w:rFonts w:asciiTheme="majorBidi" w:hAnsiTheme="majorBidi" w:cstheme="majorBidi"/>
                <w:color w:val="000000"/>
                <w:lang w:eastAsia="zh-CN"/>
              </w:rPr>
              <w:t>(% p.a.)</w:t>
            </w:r>
          </w:p>
        </w:tc>
      </w:tr>
      <w:tr w:rsidR="00E34DBA" w:rsidRPr="008F5684" w14:paraId="7BE7BBB0" w14:textId="77777777">
        <w:trPr>
          <w:trHeight w:val="621"/>
        </w:trPr>
        <w:tc>
          <w:tcPr>
            <w:tcW w:w="2263" w:type="dxa"/>
            <w:tcBorders>
              <w:top w:val="nil"/>
              <w:left w:val="single" w:sz="4" w:space="0" w:color="000000"/>
              <w:bottom w:val="single" w:sz="4" w:space="0" w:color="000000"/>
              <w:right w:val="nil"/>
            </w:tcBorders>
            <w:shd w:val="clear" w:color="000000" w:fill="FFFFFF"/>
            <w:hideMark/>
          </w:tcPr>
          <w:p w14:paraId="464A25FD" w14:textId="77777777" w:rsidR="00E34DBA" w:rsidRPr="008F5684" w:rsidRDefault="00E34DBA">
            <w:pPr>
              <w:tabs>
                <w:tab w:val="left" w:pos="9214"/>
              </w:tabs>
              <w:rPr>
                <w:rFonts w:asciiTheme="majorBidi" w:hAnsiTheme="majorBidi" w:cstheme="majorBidi"/>
                <w:color w:val="000000"/>
                <w:lang w:eastAsia="zh-CN"/>
              </w:rPr>
            </w:pPr>
            <w:r w:rsidRPr="008F5684">
              <w:rPr>
                <w:rFonts w:asciiTheme="majorBidi" w:hAnsiTheme="majorBidi" w:cstheme="majorBidi"/>
                <w:color w:val="000000"/>
                <w:lang w:eastAsia="zh-CN"/>
              </w:rPr>
              <w:t>ITPF Global Equity Fund</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25A0362D" w14:textId="75478DB8" w:rsidR="00E34DBA" w:rsidRPr="008F5684" w:rsidRDefault="0036296D">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 xml:space="preserve">20.4 </w:t>
            </w:r>
          </w:p>
        </w:tc>
        <w:tc>
          <w:tcPr>
            <w:tcW w:w="1134" w:type="dxa"/>
            <w:tcBorders>
              <w:top w:val="nil"/>
              <w:left w:val="nil"/>
              <w:bottom w:val="single" w:sz="4" w:space="0" w:color="auto"/>
              <w:right w:val="single" w:sz="4" w:space="0" w:color="auto"/>
            </w:tcBorders>
            <w:shd w:val="clear" w:color="000000" w:fill="FFFFFF"/>
            <w:noWrap/>
            <w:hideMark/>
          </w:tcPr>
          <w:p w14:paraId="0E4B18F8" w14:textId="5514CEBE" w:rsidR="00E34DBA" w:rsidRPr="008F5684" w:rsidRDefault="0036296D">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 xml:space="preserve">20.1 </w:t>
            </w:r>
          </w:p>
        </w:tc>
        <w:tc>
          <w:tcPr>
            <w:tcW w:w="1134" w:type="dxa"/>
            <w:tcBorders>
              <w:top w:val="nil"/>
              <w:left w:val="nil"/>
              <w:bottom w:val="single" w:sz="4" w:space="0" w:color="auto"/>
              <w:right w:val="single" w:sz="4" w:space="0" w:color="auto"/>
            </w:tcBorders>
            <w:shd w:val="clear" w:color="000000" w:fill="FFFFFF"/>
            <w:noWrap/>
            <w:hideMark/>
          </w:tcPr>
          <w:p w14:paraId="7209938B" w14:textId="1A4C3574" w:rsidR="00E34DBA" w:rsidRPr="008F5684" w:rsidRDefault="0036296D">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8.0</w:t>
            </w:r>
          </w:p>
        </w:tc>
        <w:tc>
          <w:tcPr>
            <w:tcW w:w="1134" w:type="dxa"/>
            <w:tcBorders>
              <w:top w:val="nil"/>
              <w:left w:val="nil"/>
              <w:bottom w:val="single" w:sz="4" w:space="0" w:color="auto"/>
              <w:right w:val="single" w:sz="4" w:space="0" w:color="auto"/>
            </w:tcBorders>
            <w:shd w:val="clear" w:color="000000" w:fill="FFFFFF"/>
            <w:noWrap/>
            <w:hideMark/>
          </w:tcPr>
          <w:p w14:paraId="746E3733" w14:textId="78AB623A" w:rsidR="00E34DBA" w:rsidRPr="008F5684" w:rsidRDefault="0036296D">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7.6</w:t>
            </w:r>
          </w:p>
        </w:tc>
        <w:tc>
          <w:tcPr>
            <w:tcW w:w="1134" w:type="dxa"/>
            <w:tcBorders>
              <w:top w:val="nil"/>
              <w:left w:val="nil"/>
              <w:bottom w:val="single" w:sz="4" w:space="0" w:color="auto"/>
              <w:right w:val="single" w:sz="4" w:space="0" w:color="auto"/>
            </w:tcBorders>
            <w:shd w:val="clear" w:color="000000" w:fill="FFFFFF"/>
            <w:noWrap/>
            <w:hideMark/>
          </w:tcPr>
          <w:p w14:paraId="43489B89" w14:textId="61E44906" w:rsidR="00E34DBA" w:rsidRPr="008F5684" w:rsidRDefault="0036296D">
            <w:pPr>
              <w:tabs>
                <w:tab w:val="left" w:pos="9214"/>
              </w:tabs>
              <w:ind w:right="79"/>
              <w:jc w:val="center"/>
              <w:rPr>
                <w:rFonts w:asciiTheme="majorBidi" w:hAnsiTheme="majorBidi" w:cstheme="majorBidi"/>
                <w:color w:val="000000"/>
                <w:lang w:eastAsia="zh-CN"/>
              </w:rPr>
            </w:pPr>
            <w:r>
              <w:rPr>
                <w:rFonts w:asciiTheme="majorBidi" w:hAnsiTheme="majorBidi" w:cstheme="majorBidi"/>
                <w:color w:val="000000"/>
                <w:lang w:eastAsia="zh-CN"/>
              </w:rPr>
              <w:t>11.4</w:t>
            </w:r>
          </w:p>
        </w:tc>
        <w:tc>
          <w:tcPr>
            <w:tcW w:w="1134" w:type="dxa"/>
            <w:tcBorders>
              <w:top w:val="nil"/>
              <w:left w:val="nil"/>
              <w:bottom w:val="single" w:sz="4" w:space="0" w:color="auto"/>
              <w:right w:val="single" w:sz="4" w:space="0" w:color="auto"/>
            </w:tcBorders>
            <w:shd w:val="clear" w:color="000000" w:fill="FFFFFF"/>
            <w:noWrap/>
            <w:hideMark/>
          </w:tcPr>
          <w:p w14:paraId="5383A1EC" w14:textId="0DD2520F" w:rsidR="00E34DBA" w:rsidRPr="008F5684" w:rsidRDefault="0036296D">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11.1</w:t>
            </w:r>
          </w:p>
        </w:tc>
      </w:tr>
      <w:tr w:rsidR="00E34DBA" w:rsidRPr="008F5684" w14:paraId="74C863D2" w14:textId="77777777" w:rsidTr="00FC6FF5">
        <w:trPr>
          <w:trHeight w:val="579"/>
        </w:trPr>
        <w:tc>
          <w:tcPr>
            <w:tcW w:w="2263" w:type="dxa"/>
            <w:tcBorders>
              <w:top w:val="nil"/>
              <w:left w:val="single" w:sz="4" w:space="0" w:color="000000"/>
              <w:bottom w:val="single" w:sz="4" w:space="0" w:color="000000"/>
              <w:right w:val="nil"/>
            </w:tcBorders>
            <w:shd w:val="clear" w:color="000000" w:fill="FFFFFF"/>
            <w:hideMark/>
          </w:tcPr>
          <w:p w14:paraId="041850CB" w14:textId="77777777" w:rsidR="00E34DBA" w:rsidRPr="008F5684" w:rsidRDefault="00E34DBA">
            <w:pPr>
              <w:tabs>
                <w:tab w:val="left" w:pos="9214"/>
              </w:tabs>
              <w:rPr>
                <w:rFonts w:asciiTheme="majorBidi" w:hAnsiTheme="majorBidi" w:cstheme="majorBidi"/>
                <w:color w:val="000000"/>
                <w:lang w:eastAsia="zh-CN"/>
              </w:rPr>
            </w:pPr>
            <w:r w:rsidRPr="008F5684">
              <w:rPr>
                <w:rFonts w:asciiTheme="majorBidi" w:hAnsiTheme="majorBidi" w:cstheme="majorBidi"/>
                <w:color w:val="000000"/>
                <w:lang w:eastAsia="zh-CN"/>
              </w:rPr>
              <w:t>ITPF Diversified Growth Fund</w:t>
            </w:r>
          </w:p>
        </w:tc>
        <w:tc>
          <w:tcPr>
            <w:tcW w:w="1134" w:type="dxa"/>
            <w:tcBorders>
              <w:top w:val="nil"/>
              <w:left w:val="single" w:sz="4" w:space="0" w:color="auto"/>
              <w:bottom w:val="single" w:sz="4" w:space="0" w:color="auto"/>
              <w:right w:val="single" w:sz="4" w:space="0" w:color="auto"/>
            </w:tcBorders>
            <w:shd w:val="clear" w:color="000000" w:fill="FFFFFF"/>
            <w:noWrap/>
          </w:tcPr>
          <w:p w14:paraId="33E026FB" w14:textId="58A2CBFC" w:rsidR="00E34DBA" w:rsidRPr="008F5684" w:rsidRDefault="00645301">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8.3</w:t>
            </w:r>
          </w:p>
        </w:tc>
        <w:tc>
          <w:tcPr>
            <w:tcW w:w="1134" w:type="dxa"/>
            <w:tcBorders>
              <w:top w:val="nil"/>
              <w:left w:val="nil"/>
              <w:bottom w:val="single" w:sz="4" w:space="0" w:color="auto"/>
              <w:right w:val="single" w:sz="4" w:space="0" w:color="auto"/>
            </w:tcBorders>
            <w:shd w:val="clear" w:color="000000" w:fill="FFFFFF"/>
            <w:noWrap/>
          </w:tcPr>
          <w:p w14:paraId="39443D9B" w14:textId="787867C6" w:rsidR="00E34DBA" w:rsidRPr="008F5684" w:rsidRDefault="00645301">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9.3</w:t>
            </w:r>
          </w:p>
        </w:tc>
        <w:tc>
          <w:tcPr>
            <w:tcW w:w="1134" w:type="dxa"/>
            <w:tcBorders>
              <w:top w:val="nil"/>
              <w:left w:val="nil"/>
              <w:bottom w:val="single" w:sz="4" w:space="0" w:color="auto"/>
              <w:right w:val="single" w:sz="4" w:space="0" w:color="auto"/>
            </w:tcBorders>
            <w:shd w:val="clear" w:color="000000" w:fill="FFFFFF"/>
            <w:noWrap/>
          </w:tcPr>
          <w:p w14:paraId="09FC35A9" w14:textId="3E31FFFB" w:rsidR="00E34DBA" w:rsidRPr="008F5684" w:rsidRDefault="00645301">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2.1</w:t>
            </w:r>
          </w:p>
        </w:tc>
        <w:tc>
          <w:tcPr>
            <w:tcW w:w="1134" w:type="dxa"/>
            <w:tcBorders>
              <w:top w:val="nil"/>
              <w:left w:val="nil"/>
              <w:bottom w:val="single" w:sz="4" w:space="0" w:color="auto"/>
              <w:right w:val="single" w:sz="4" w:space="0" w:color="auto"/>
            </w:tcBorders>
            <w:shd w:val="clear" w:color="000000" w:fill="FFFFFF"/>
            <w:noWrap/>
          </w:tcPr>
          <w:p w14:paraId="2BA33969" w14:textId="1F360D23" w:rsidR="00E34DBA" w:rsidRPr="008F5684" w:rsidRDefault="00645301">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7.6</w:t>
            </w:r>
          </w:p>
        </w:tc>
        <w:tc>
          <w:tcPr>
            <w:tcW w:w="1134" w:type="dxa"/>
            <w:tcBorders>
              <w:top w:val="nil"/>
              <w:left w:val="nil"/>
              <w:bottom w:val="single" w:sz="4" w:space="0" w:color="auto"/>
              <w:right w:val="single" w:sz="4" w:space="0" w:color="auto"/>
            </w:tcBorders>
            <w:shd w:val="clear" w:color="000000" w:fill="FFFFFF"/>
            <w:noWrap/>
          </w:tcPr>
          <w:p w14:paraId="2FDE40A5" w14:textId="77A2C018" w:rsidR="00E34DBA" w:rsidRPr="008F5684" w:rsidRDefault="00645301">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3.4</w:t>
            </w:r>
          </w:p>
        </w:tc>
        <w:tc>
          <w:tcPr>
            <w:tcW w:w="1134" w:type="dxa"/>
            <w:tcBorders>
              <w:top w:val="nil"/>
              <w:left w:val="nil"/>
              <w:bottom w:val="single" w:sz="4" w:space="0" w:color="auto"/>
              <w:right w:val="single" w:sz="4" w:space="0" w:color="auto"/>
            </w:tcBorders>
            <w:shd w:val="clear" w:color="000000" w:fill="FFFFFF"/>
            <w:noWrap/>
          </w:tcPr>
          <w:p w14:paraId="7C62C910" w14:textId="39B04464" w:rsidR="00E34DBA" w:rsidRPr="008F5684" w:rsidRDefault="00645301">
            <w:pPr>
              <w:tabs>
                <w:tab w:val="left" w:pos="9214"/>
              </w:tabs>
              <w:jc w:val="center"/>
              <w:rPr>
                <w:rFonts w:asciiTheme="majorBidi" w:hAnsiTheme="majorBidi" w:cstheme="majorBidi"/>
                <w:color w:val="000000"/>
                <w:lang w:eastAsia="zh-CN"/>
              </w:rPr>
            </w:pPr>
            <w:r>
              <w:rPr>
                <w:rFonts w:asciiTheme="majorBidi" w:hAnsiTheme="majorBidi" w:cstheme="majorBidi"/>
                <w:color w:val="000000"/>
                <w:lang w:eastAsia="zh-CN"/>
              </w:rPr>
              <w:t>6.2</w:t>
            </w:r>
          </w:p>
        </w:tc>
      </w:tr>
      <w:tr w:rsidR="00E34DBA" w:rsidRPr="008F5684" w14:paraId="4E13B26D" w14:textId="77777777" w:rsidTr="00FC6FF5">
        <w:trPr>
          <w:trHeight w:val="561"/>
        </w:trPr>
        <w:tc>
          <w:tcPr>
            <w:tcW w:w="2263" w:type="dxa"/>
            <w:tcBorders>
              <w:top w:val="nil"/>
              <w:left w:val="single" w:sz="4" w:space="0" w:color="000000"/>
              <w:bottom w:val="single" w:sz="4" w:space="0" w:color="000000"/>
              <w:right w:val="nil"/>
            </w:tcBorders>
            <w:shd w:val="clear" w:color="000000" w:fill="FFFFFF"/>
            <w:hideMark/>
          </w:tcPr>
          <w:p w14:paraId="46AA569D" w14:textId="77777777" w:rsidR="00E34DBA" w:rsidRPr="008F5684" w:rsidRDefault="00E34DBA">
            <w:pPr>
              <w:tabs>
                <w:tab w:val="left" w:pos="9214"/>
              </w:tabs>
              <w:rPr>
                <w:rFonts w:asciiTheme="majorBidi" w:hAnsiTheme="majorBidi" w:cstheme="majorBidi"/>
                <w:color w:val="000000"/>
                <w:lang w:eastAsia="zh-CN"/>
              </w:rPr>
            </w:pPr>
            <w:r w:rsidRPr="008F5684">
              <w:rPr>
                <w:rFonts w:asciiTheme="majorBidi" w:hAnsiTheme="majorBidi" w:cstheme="majorBidi"/>
                <w:color w:val="000000"/>
                <w:lang w:eastAsia="zh-CN"/>
              </w:rPr>
              <w:t>ITPF Annuity Protection Fund</w:t>
            </w:r>
          </w:p>
        </w:tc>
        <w:tc>
          <w:tcPr>
            <w:tcW w:w="1134" w:type="dxa"/>
            <w:tcBorders>
              <w:top w:val="nil"/>
              <w:left w:val="single" w:sz="4" w:space="0" w:color="auto"/>
              <w:bottom w:val="single" w:sz="4" w:space="0" w:color="auto"/>
              <w:right w:val="single" w:sz="4" w:space="0" w:color="auto"/>
            </w:tcBorders>
            <w:shd w:val="clear" w:color="000000" w:fill="FFFFFF"/>
            <w:noWrap/>
          </w:tcPr>
          <w:p w14:paraId="0FC9B176" w14:textId="3A3C8AEB"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-3.9</w:t>
            </w:r>
          </w:p>
        </w:tc>
        <w:tc>
          <w:tcPr>
            <w:tcW w:w="1134" w:type="dxa"/>
            <w:tcBorders>
              <w:top w:val="nil"/>
              <w:left w:val="nil"/>
              <w:bottom w:val="single" w:sz="4" w:space="0" w:color="auto"/>
              <w:right w:val="single" w:sz="4" w:space="0" w:color="auto"/>
            </w:tcBorders>
            <w:shd w:val="clear" w:color="000000" w:fill="FFFFFF"/>
            <w:noWrap/>
          </w:tcPr>
          <w:p w14:paraId="47A9A8F9" w14:textId="3FAA2400"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-4.4</w:t>
            </w:r>
          </w:p>
        </w:tc>
        <w:tc>
          <w:tcPr>
            <w:tcW w:w="1134" w:type="dxa"/>
            <w:tcBorders>
              <w:top w:val="nil"/>
              <w:left w:val="nil"/>
              <w:bottom w:val="single" w:sz="4" w:space="0" w:color="auto"/>
              <w:right w:val="single" w:sz="4" w:space="0" w:color="auto"/>
            </w:tcBorders>
            <w:shd w:val="clear" w:color="000000" w:fill="FFFFFF"/>
            <w:noWrap/>
          </w:tcPr>
          <w:p w14:paraId="52C43FA2" w14:textId="7D33EA8A"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-8.9</w:t>
            </w:r>
          </w:p>
        </w:tc>
        <w:tc>
          <w:tcPr>
            <w:tcW w:w="1134" w:type="dxa"/>
            <w:tcBorders>
              <w:top w:val="nil"/>
              <w:left w:val="nil"/>
              <w:bottom w:val="single" w:sz="4" w:space="0" w:color="auto"/>
              <w:right w:val="single" w:sz="4" w:space="0" w:color="auto"/>
            </w:tcBorders>
            <w:shd w:val="clear" w:color="000000" w:fill="FFFFFF"/>
            <w:noWrap/>
          </w:tcPr>
          <w:p w14:paraId="4DCA0843" w14:textId="4BB9A878"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-9.5</w:t>
            </w:r>
          </w:p>
        </w:tc>
        <w:tc>
          <w:tcPr>
            <w:tcW w:w="1134" w:type="dxa"/>
            <w:tcBorders>
              <w:top w:val="nil"/>
              <w:left w:val="nil"/>
              <w:bottom w:val="single" w:sz="4" w:space="0" w:color="auto"/>
              <w:right w:val="single" w:sz="4" w:space="0" w:color="auto"/>
            </w:tcBorders>
            <w:shd w:val="clear" w:color="000000" w:fill="FFFFFF"/>
            <w:noWrap/>
          </w:tcPr>
          <w:p w14:paraId="5AABC715" w14:textId="2C80D2A5"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-4.7</w:t>
            </w:r>
          </w:p>
        </w:tc>
        <w:tc>
          <w:tcPr>
            <w:tcW w:w="1134" w:type="dxa"/>
            <w:tcBorders>
              <w:top w:val="nil"/>
              <w:left w:val="nil"/>
              <w:bottom w:val="single" w:sz="4" w:space="0" w:color="auto"/>
              <w:right w:val="single" w:sz="4" w:space="0" w:color="auto"/>
            </w:tcBorders>
            <w:shd w:val="clear" w:color="000000" w:fill="FFFFFF"/>
            <w:noWrap/>
          </w:tcPr>
          <w:p w14:paraId="0B015B2E" w14:textId="651DCF9E"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-5.2</w:t>
            </w:r>
          </w:p>
        </w:tc>
      </w:tr>
      <w:tr w:rsidR="00E34DBA" w:rsidRPr="008F5684" w14:paraId="60D7BE06" w14:textId="77777777" w:rsidTr="00FC6FF5">
        <w:trPr>
          <w:trHeight w:val="549"/>
        </w:trPr>
        <w:tc>
          <w:tcPr>
            <w:tcW w:w="2263" w:type="dxa"/>
            <w:tcBorders>
              <w:top w:val="nil"/>
              <w:left w:val="single" w:sz="4" w:space="0" w:color="000000"/>
              <w:bottom w:val="single" w:sz="4" w:space="0" w:color="000000"/>
              <w:right w:val="nil"/>
            </w:tcBorders>
            <w:shd w:val="clear" w:color="000000" w:fill="FFFFFF"/>
            <w:hideMark/>
          </w:tcPr>
          <w:p w14:paraId="64B0DAB5" w14:textId="77777777" w:rsidR="00E34DBA" w:rsidRPr="008F5684" w:rsidRDefault="00E34DBA">
            <w:pPr>
              <w:tabs>
                <w:tab w:val="left" w:pos="9214"/>
              </w:tabs>
              <w:rPr>
                <w:rFonts w:asciiTheme="majorBidi" w:hAnsiTheme="majorBidi" w:cstheme="majorBidi"/>
                <w:color w:val="000000"/>
                <w:lang w:eastAsia="zh-CN"/>
              </w:rPr>
            </w:pPr>
            <w:r w:rsidRPr="008F5684">
              <w:rPr>
                <w:rFonts w:asciiTheme="majorBidi" w:hAnsiTheme="majorBidi" w:cstheme="majorBidi"/>
                <w:color w:val="000000"/>
                <w:lang w:eastAsia="zh-CN"/>
              </w:rPr>
              <w:t>ITPF Cash Fund</w:t>
            </w:r>
          </w:p>
        </w:tc>
        <w:tc>
          <w:tcPr>
            <w:tcW w:w="1134" w:type="dxa"/>
            <w:tcBorders>
              <w:top w:val="nil"/>
              <w:left w:val="single" w:sz="4" w:space="0" w:color="auto"/>
              <w:bottom w:val="single" w:sz="4" w:space="0" w:color="auto"/>
              <w:right w:val="single" w:sz="4" w:space="0" w:color="auto"/>
            </w:tcBorders>
            <w:shd w:val="clear" w:color="000000" w:fill="FFFFFF"/>
            <w:noWrap/>
          </w:tcPr>
          <w:p w14:paraId="6FC34D29" w14:textId="43B2CBC5"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5.5</w:t>
            </w:r>
          </w:p>
        </w:tc>
        <w:tc>
          <w:tcPr>
            <w:tcW w:w="1134" w:type="dxa"/>
            <w:tcBorders>
              <w:top w:val="nil"/>
              <w:left w:val="nil"/>
              <w:bottom w:val="single" w:sz="4" w:space="0" w:color="auto"/>
              <w:right w:val="single" w:sz="4" w:space="0" w:color="auto"/>
            </w:tcBorders>
            <w:shd w:val="clear" w:color="000000" w:fill="FFFFFF"/>
            <w:noWrap/>
          </w:tcPr>
          <w:p w14:paraId="3273FDF4" w14:textId="3D402992"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5.1</w:t>
            </w:r>
          </w:p>
        </w:tc>
        <w:tc>
          <w:tcPr>
            <w:tcW w:w="1134" w:type="dxa"/>
            <w:tcBorders>
              <w:top w:val="nil"/>
              <w:left w:val="nil"/>
              <w:bottom w:val="single" w:sz="4" w:space="0" w:color="auto"/>
              <w:right w:val="single" w:sz="4" w:space="0" w:color="auto"/>
            </w:tcBorders>
            <w:shd w:val="clear" w:color="000000" w:fill="FFFFFF"/>
            <w:noWrap/>
          </w:tcPr>
          <w:p w14:paraId="26E24E63" w14:textId="61879A2F"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3.8</w:t>
            </w:r>
          </w:p>
        </w:tc>
        <w:tc>
          <w:tcPr>
            <w:tcW w:w="1134" w:type="dxa"/>
            <w:tcBorders>
              <w:top w:val="nil"/>
              <w:left w:val="nil"/>
              <w:bottom w:val="single" w:sz="4" w:space="0" w:color="auto"/>
              <w:right w:val="single" w:sz="4" w:space="0" w:color="auto"/>
            </w:tcBorders>
            <w:shd w:val="clear" w:color="000000" w:fill="FFFFFF"/>
            <w:noWrap/>
          </w:tcPr>
          <w:p w14:paraId="52E5F026" w14:textId="2A32D63E"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3.7</w:t>
            </w:r>
          </w:p>
        </w:tc>
        <w:tc>
          <w:tcPr>
            <w:tcW w:w="1134" w:type="dxa"/>
            <w:tcBorders>
              <w:top w:val="nil"/>
              <w:left w:val="nil"/>
              <w:bottom w:val="single" w:sz="4" w:space="0" w:color="auto"/>
              <w:right w:val="single" w:sz="4" w:space="0" w:color="auto"/>
            </w:tcBorders>
            <w:shd w:val="clear" w:color="000000" w:fill="FFFFFF"/>
            <w:noWrap/>
          </w:tcPr>
          <w:p w14:paraId="5A3AC6E2" w14:textId="7B51C1D7"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2.3</w:t>
            </w:r>
          </w:p>
        </w:tc>
        <w:tc>
          <w:tcPr>
            <w:tcW w:w="1134" w:type="dxa"/>
            <w:tcBorders>
              <w:top w:val="nil"/>
              <w:left w:val="nil"/>
              <w:bottom w:val="single" w:sz="4" w:space="0" w:color="auto"/>
              <w:right w:val="single" w:sz="4" w:space="0" w:color="auto"/>
            </w:tcBorders>
            <w:shd w:val="clear" w:color="000000" w:fill="FFFFFF"/>
            <w:noWrap/>
          </w:tcPr>
          <w:p w14:paraId="1BECA738" w14:textId="0A865397" w:rsidR="00E34DBA" w:rsidRPr="008F5684" w:rsidRDefault="00645301">
            <w:pPr>
              <w:tabs>
                <w:tab w:val="left" w:pos="9214"/>
              </w:tabs>
              <w:jc w:val="center"/>
              <w:rPr>
                <w:rFonts w:asciiTheme="majorBidi" w:hAnsiTheme="majorBidi" w:cstheme="majorBidi"/>
                <w:color w:val="000000" w:themeColor="text1"/>
                <w:lang w:eastAsia="zh-CN"/>
              </w:rPr>
            </w:pPr>
            <w:r>
              <w:rPr>
                <w:rFonts w:asciiTheme="majorBidi" w:hAnsiTheme="majorBidi" w:cstheme="majorBidi"/>
                <w:color w:val="000000" w:themeColor="text1"/>
                <w:lang w:eastAsia="zh-CN"/>
              </w:rPr>
              <w:t>2.2</w:t>
            </w:r>
          </w:p>
        </w:tc>
      </w:tr>
    </w:tbl>
    <w:p w14:paraId="27CFFC87" w14:textId="77777777" w:rsidR="004E274F" w:rsidRDefault="004E274F">
      <w:pPr>
        <w:pStyle w:val="BodyText"/>
        <w:tabs>
          <w:tab w:val="left" w:pos="1901"/>
        </w:tabs>
        <w:ind w:left="199"/>
        <w:jc w:val="both"/>
      </w:pPr>
    </w:p>
    <w:p w14:paraId="0BF5E8D1" w14:textId="77777777" w:rsidR="001261D6" w:rsidRPr="008F5684" w:rsidRDefault="001261D6" w:rsidP="00770C62">
      <w:pPr>
        <w:tabs>
          <w:tab w:val="left" w:pos="9214"/>
        </w:tabs>
        <w:ind w:left="284"/>
        <w:jc w:val="both"/>
        <w:rPr>
          <w:rFonts w:ascii="Times New Roman" w:hAnsi="Times New Roman"/>
          <w:i/>
        </w:rPr>
      </w:pPr>
      <w:r w:rsidRPr="008F5684">
        <w:rPr>
          <w:rFonts w:ascii="Times New Roman" w:hAnsi="Times New Roman"/>
          <w:i/>
        </w:rPr>
        <w:t>Charges – the DC Section</w:t>
      </w:r>
    </w:p>
    <w:p w14:paraId="73F15E08" w14:textId="2157D327" w:rsidR="001261D6" w:rsidRDefault="001261D6" w:rsidP="005F266A">
      <w:pPr>
        <w:tabs>
          <w:tab w:val="left" w:pos="9214"/>
        </w:tabs>
        <w:spacing w:before="120"/>
        <w:ind w:left="284" w:right="621"/>
        <w:jc w:val="both"/>
        <w:rPr>
          <w:rFonts w:ascii="Times New Roman" w:hAnsi="Times New Roman"/>
        </w:rPr>
      </w:pPr>
      <w:r w:rsidRPr="008F5684">
        <w:rPr>
          <w:rFonts w:ascii="Times New Roman" w:hAnsi="Times New Roman"/>
        </w:rPr>
        <w:t>Aegon impose charges on member’s DC funds. Each fund carries a total charge known as the Total Expense Ratio (TER) which is expressed as a percentage of the fund value. The TER consists predominantly of the Annual Management Charge (AMC), which is Aegon’s cost for administration and investment management, but also includes additional expenses such as custody costs, auditor fees and other operational expenses, excluding transaction costs. The TER is paid by the members and is reflected in the unit price of the funds.</w:t>
      </w:r>
    </w:p>
    <w:p w14:paraId="0DB15D62" w14:textId="434D7F90" w:rsidR="001261D6" w:rsidRPr="008F5684" w:rsidRDefault="001261D6" w:rsidP="009B2A0E">
      <w:pPr>
        <w:ind w:left="284" w:right="621"/>
        <w:jc w:val="both"/>
        <w:rPr>
          <w:rFonts w:ascii="Times New Roman" w:hAnsi="Times New Roman"/>
        </w:rPr>
      </w:pPr>
      <w:r w:rsidRPr="008F5684">
        <w:rPr>
          <w:rFonts w:ascii="Times New Roman" w:hAnsi="Times New Roman"/>
        </w:rPr>
        <w:t xml:space="preserve">The AMC and TER currently applicable to each of the Aegon funds </w:t>
      </w:r>
      <w:r w:rsidR="00B87F20">
        <w:rPr>
          <w:rFonts w:ascii="Times New Roman" w:hAnsi="Times New Roman"/>
        </w:rPr>
        <w:t xml:space="preserve">in the </w:t>
      </w:r>
      <w:r w:rsidR="00B87F20" w:rsidRPr="008F5684">
        <w:rPr>
          <w:rFonts w:ascii="Times New Roman" w:hAnsi="Times New Roman"/>
        </w:rPr>
        <w:t>Variable Income Lifecycle, the default investment option</w:t>
      </w:r>
      <w:r w:rsidR="00B87F20">
        <w:rPr>
          <w:rFonts w:ascii="Times New Roman" w:hAnsi="Times New Roman"/>
        </w:rPr>
        <w:t xml:space="preserve"> </w:t>
      </w:r>
      <w:r w:rsidRPr="008F5684">
        <w:rPr>
          <w:rFonts w:ascii="Times New Roman" w:hAnsi="Times New Roman"/>
        </w:rPr>
        <w:t xml:space="preserve">is shown in the table below:- </w:t>
      </w:r>
    </w:p>
    <w:p w14:paraId="68583178" w14:textId="77777777" w:rsidR="001261D6" w:rsidRPr="008F5684" w:rsidRDefault="001261D6" w:rsidP="009B2A0E">
      <w:pPr>
        <w:tabs>
          <w:tab w:val="left" w:pos="9214"/>
        </w:tabs>
        <w:ind w:left="284" w:right="621"/>
        <w:jc w:val="both"/>
        <w:rPr>
          <w:rFonts w:ascii="Times New Roman" w:hAnsi="Times New Roman"/>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410"/>
        <w:gridCol w:w="2835"/>
      </w:tblGrid>
      <w:tr w:rsidR="001261D6" w:rsidRPr="008F5684" w14:paraId="13C8E999" w14:textId="77777777" w:rsidTr="009B2A0E">
        <w:trPr>
          <w:jc w:val="center"/>
        </w:trPr>
        <w:tc>
          <w:tcPr>
            <w:tcW w:w="3397" w:type="dxa"/>
          </w:tcPr>
          <w:p w14:paraId="1A6EC3A1" w14:textId="77777777" w:rsidR="001261D6" w:rsidRPr="008F5684" w:rsidRDefault="001261D6" w:rsidP="00770C62">
            <w:pPr>
              <w:tabs>
                <w:tab w:val="left" w:pos="9214"/>
              </w:tabs>
              <w:ind w:left="284"/>
              <w:jc w:val="both"/>
              <w:rPr>
                <w:rFonts w:ascii="Times New Roman" w:hAnsi="Times New Roman"/>
                <w:b/>
              </w:rPr>
            </w:pPr>
            <w:r w:rsidRPr="008F5684">
              <w:rPr>
                <w:rFonts w:ascii="Times New Roman" w:hAnsi="Times New Roman"/>
                <w:b/>
              </w:rPr>
              <w:t>Aegon Investment Fund</w:t>
            </w:r>
          </w:p>
        </w:tc>
        <w:tc>
          <w:tcPr>
            <w:tcW w:w="2410" w:type="dxa"/>
          </w:tcPr>
          <w:p w14:paraId="2653B4B5" w14:textId="77777777" w:rsidR="001261D6" w:rsidRPr="008F5684" w:rsidRDefault="001261D6" w:rsidP="00770C62">
            <w:pPr>
              <w:tabs>
                <w:tab w:val="left" w:pos="9214"/>
              </w:tabs>
              <w:ind w:left="284"/>
              <w:jc w:val="center"/>
              <w:rPr>
                <w:rFonts w:ascii="Times New Roman" w:hAnsi="Times New Roman"/>
                <w:b/>
              </w:rPr>
            </w:pPr>
            <w:r w:rsidRPr="008F5684">
              <w:rPr>
                <w:rFonts w:ascii="Times New Roman" w:hAnsi="Times New Roman"/>
                <w:b/>
              </w:rPr>
              <w:t>Aegon AMC</w:t>
            </w:r>
            <w:r>
              <w:rPr>
                <w:rFonts w:ascii="Times New Roman" w:hAnsi="Times New Roman"/>
                <w:b/>
              </w:rPr>
              <w:t xml:space="preserve"> </w:t>
            </w:r>
            <w:r w:rsidRPr="008F5684">
              <w:rPr>
                <w:rFonts w:ascii="Times New Roman" w:hAnsi="Times New Roman"/>
                <w:b/>
              </w:rPr>
              <w:t>(% p.a.)</w:t>
            </w:r>
          </w:p>
        </w:tc>
        <w:tc>
          <w:tcPr>
            <w:tcW w:w="2835" w:type="dxa"/>
          </w:tcPr>
          <w:p w14:paraId="74484696" w14:textId="77777777" w:rsidR="001261D6" w:rsidRPr="008F5684" w:rsidRDefault="001261D6" w:rsidP="00770C62">
            <w:pPr>
              <w:tabs>
                <w:tab w:val="left" w:pos="9214"/>
              </w:tabs>
              <w:ind w:left="284"/>
              <w:jc w:val="center"/>
              <w:rPr>
                <w:rFonts w:ascii="Times New Roman" w:hAnsi="Times New Roman"/>
                <w:b/>
              </w:rPr>
            </w:pPr>
            <w:r w:rsidRPr="008F5684">
              <w:rPr>
                <w:rFonts w:ascii="Times New Roman" w:hAnsi="Times New Roman"/>
                <w:b/>
              </w:rPr>
              <w:t>Total Expense Ratio (% p.a.)**</w:t>
            </w:r>
          </w:p>
        </w:tc>
      </w:tr>
      <w:tr w:rsidR="001261D6" w:rsidRPr="008F5684" w14:paraId="0F104EBA" w14:textId="77777777" w:rsidTr="009B2A0E">
        <w:trPr>
          <w:jc w:val="center"/>
        </w:trPr>
        <w:tc>
          <w:tcPr>
            <w:tcW w:w="3397" w:type="dxa"/>
          </w:tcPr>
          <w:p w14:paraId="1DB644DD" w14:textId="7A85871E" w:rsidR="001261D6" w:rsidRPr="008F5684" w:rsidRDefault="001261D6" w:rsidP="00770C62">
            <w:pPr>
              <w:tabs>
                <w:tab w:val="left" w:pos="9214"/>
              </w:tabs>
              <w:ind w:left="284"/>
              <w:jc w:val="both"/>
              <w:rPr>
                <w:rFonts w:ascii="Times New Roman" w:hAnsi="Times New Roman"/>
              </w:rPr>
            </w:pPr>
            <w:r w:rsidRPr="008F5684">
              <w:rPr>
                <w:rFonts w:ascii="Times New Roman" w:hAnsi="Times New Roman"/>
              </w:rPr>
              <w:t>ITPF Diversified Growth Fund</w:t>
            </w:r>
          </w:p>
        </w:tc>
        <w:tc>
          <w:tcPr>
            <w:tcW w:w="2410" w:type="dxa"/>
          </w:tcPr>
          <w:p w14:paraId="747C8130" w14:textId="77777777" w:rsidR="001261D6" w:rsidRPr="008F5684" w:rsidRDefault="001261D6" w:rsidP="00770C62">
            <w:pPr>
              <w:tabs>
                <w:tab w:val="left" w:pos="9214"/>
              </w:tabs>
              <w:ind w:left="284"/>
              <w:jc w:val="center"/>
              <w:rPr>
                <w:rFonts w:ascii="Times New Roman" w:hAnsi="Times New Roman"/>
              </w:rPr>
            </w:pPr>
            <w:r w:rsidRPr="008F5684">
              <w:rPr>
                <w:rFonts w:ascii="Times New Roman" w:hAnsi="Times New Roman"/>
              </w:rPr>
              <w:t>0.67</w:t>
            </w:r>
          </w:p>
        </w:tc>
        <w:tc>
          <w:tcPr>
            <w:tcW w:w="2835" w:type="dxa"/>
          </w:tcPr>
          <w:p w14:paraId="67750366" w14:textId="5E416C58" w:rsidR="001261D6" w:rsidRPr="008F5684" w:rsidRDefault="00904E7F" w:rsidP="00770C62">
            <w:pPr>
              <w:tabs>
                <w:tab w:val="left" w:pos="9214"/>
              </w:tabs>
              <w:ind w:left="284"/>
              <w:jc w:val="center"/>
              <w:rPr>
                <w:rFonts w:ascii="Times New Roman" w:hAnsi="Times New Roman"/>
              </w:rPr>
            </w:pPr>
            <w:r>
              <w:rPr>
                <w:rFonts w:ascii="Times New Roman" w:hAnsi="Times New Roman"/>
              </w:rPr>
              <w:t>0.95</w:t>
            </w:r>
          </w:p>
        </w:tc>
      </w:tr>
      <w:tr w:rsidR="001261D6" w:rsidRPr="008F5684" w14:paraId="4DAB761B" w14:textId="77777777" w:rsidTr="009B2A0E">
        <w:trPr>
          <w:jc w:val="center"/>
        </w:trPr>
        <w:tc>
          <w:tcPr>
            <w:tcW w:w="3397" w:type="dxa"/>
          </w:tcPr>
          <w:p w14:paraId="7FA8F3E8" w14:textId="6F9D8B72" w:rsidR="001261D6" w:rsidRPr="008F5684" w:rsidRDefault="001261D6" w:rsidP="00770C62">
            <w:pPr>
              <w:tabs>
                <w:tab w:val="left" w:pos="9214"/>
              </w:tabs>
              <w:ind w:left="284"/>
              <w:jc w:val="both"/>
              <w:rPr>
                <w:rFonts w:ascii="Times New Roman" w:hAnsi="Times New Roman"/>
              </w:rPr>
            </w:pPr>
            <w:r w:rsidRPr="008F5684">
              <w:rPr>
                <w:rFonts w:ascii="Times New Roman" w:hAnsi="Times New Roman"/>
              </w:rPr>
              <w:t>ITPF Global Equity Fund</w:t>
            </w:r>
          </w:p>
        </w:tc>
        <w:tc>
          <w:tcPr>
            <w:tcW w:w="2410" w:type="dxa"/>
          </w:tcPr>
          <w:p w14:paraId="0FA21048" w14:textId="77777777" w:rsidR="001261D6" w:rsidRPr="008F5684" w:rsidRDefault="001261D6" w:rsidP="00770C62">
            <w:pPr>
              <w:tabs>
                <w:tab w:val="left" w:pos="9214"/>
              </w:tabs>
              <w:ind w:left="284"/>
              <w:jc w:val="center"/>
              <w:rPr>
                <w:rFonts w:ascii="Times New Roman" w:hAnsi="Times New Roman"/>
              </w:rPr>
            </w:pPr>
            <w:r w:rsidRPr="008F5684">
              <w:rPr>
                <w:rFonts w:ascii="Times New Roman" w:hAnsi="Times New Roman"/>
              </w:rPr>
              <w:t>0.35</w:t>
            </w:r>
          </w:p>
        </w:tc>
        <w:tc>
          <w:tcPr>
            <w:tcW w:w="2835" w:type="dxa"/>
          </w:tcPr>
          <w:p w14:paraId="57575D84" w14:textId="0EE6576B" w:rsidR="001261D6" w:rsidRPr="008F5684" w:rsidRDefault="00904E7F" w:rsidP="00770C62">
            <w:pPr>
              <w:tabs>
                <w:tab w:val="left" w:pos="9214"/>
              </w:tabs>
              <w:ind w:left="284"/>
              <w:jc w:val="center"/>
              <w:rPr>
                <w:rFonts w:ascii="Times New Roman" w:hAnsi="Times New Roman"/>
              </w:rPr>
            </w:pPr>
            <w:r>
              <w:rPr>
                <w:rFonts w:ascii="Times New Roman" w:hAnsi="Times New Roman"/>
              </w:rPr>
              <w:t>0.36</w:t>
            </w:r>
          </w:p>
        </w:tc>
      </w:tr>
      <w:tr w:rsidR="001261D6" w:rsidRPr="008F5684" w14:paraId="37E1C701" w14:textId="77777777" w:rsidTr="00FC6FF5">
        <w:trPr>
          <w:jc w:val="center"/>
        </w:trPr>
        <w:tc>
          <w:tcPr>
            <w:tcW w:w="3397" w:type="dxa"/>
          </w:tcPr>
          <w:p w14:paraId="6AD89D95" w14:textId="09FB96DE" w:rsidR="001261D6" w:rsidRPr="008F5684" w:rsidRDefault="001261D6" w:rsidP="00770C62">
            <w:pPr>
              <w:tabs>
                <w:tab w:val="left" w:pos="9214"/>
              </w:tabs>
              <w:ind w:left="284"/>
              <w:jc w:val="both"/>
              <w:rPr>
                <w:rFonts w:ascii="Times New Roman" w:hAnsi="Times New Roman"/>
              </w:rPr>
            </w:pPr>
            <w:r w:rsidRPr="008F5684">
              <w:rPr>
                <w:rFonts w:ascii="Times New Roman" w:hAnsi="Times New Roman"/>
              </w:rPr>
              <w:t>ITPF Annuity Protection Fund</w:t>
            </w:r>
          </w:p>
        </w:tc>
        <w:tc>
          <w:tcPr>
            <w:tcW w:w="2410" w:type="dxa"/>
          </w:tcPr>
          <w:p w14:paraId="1322491B" w14:textId="77777777" w:rsidR="001261D6" w:rsidRPr="008F5684" w:rsidRDefault="001261D6" w:rsidP="00770C62">
            <w:pPr>
              <w:tabs>
                <w:tab w:val="left" w:pos="9214"/>
              </w:tabs>
              <w:ind w:left="284"/>
              <w:jc w:val="center"/>
              <w:rPr>
                <w:rFonts w:ascii="Times New Roman" w:hAnsi="Times New Roman"/>
              </w:rPr>
            </w:pPr>
            <w:r w:rsidRPr="008F5684">
              <w:rPr>
                <w:rFonts w:ascii="Times New Roman" w:hAnsi="Times New Roman"/>
              </w:rPr>
              <w:t>0.32</w:t>
            </w:r>
          </w:p>
        </w:tc>
        <w:tc>
          <w:tcPr>
            <w:tcW w:w="2835" w:type="dxa"/>
          </w:tcPr>
          <w:p w14:paraId="255B3A8C" w14:textId="35B4697B" w:rsidR="001261D6" w:rsidRPr="008F5684" w:rsidRDefault="00904E7F" w:rsidP="00770C62">
            <w:pPr>
              <w:tabs>
                <w:tab w:val="left" w:pos="9214"/>
              </w:tabs>
              <w:ind w:left="284"/>
              <w:jc w:val="center"/>
              <w:rPr>
                <w:rFonts w:ascii="Times New Roman" w:hAnsi="Times New Roman"/>
              </w:rPr>
            </w:pPr>
            <w:r>
              <w:rPr>
                <w:rFonts w:ascii="Times New Roman" w:hAnsi="Times New Roman"/>
              </w:rPr>
              <w:t>0.36</w:t>
            </w:r>
          </w:p>
        </w:tc>
      </w:tr>
      <w:tr w:rsidR="001261D6" w:rsidRPr="008F5684" w14:paraId="131B1F57" w14:textId="77777777" w:rsidTr="009B2A0E">
        <w:trPr>
          <w:jc w:val="center"/>
        </w:trPr>
        <w:tc>
          <w:tcPr>
            <w:tcW w:w="3397" w:type="dxa"/>
          </w:tcPr>
          <w:p w14:paraId="7B284313" w14:textId="13D77F45" w:rsidR="001261D6" w:rsidRPr="008F5684" w:rsidRDefault="001261D6" w:rsidP="00770C62">
            <w:pPr>
              <w:tabs>
                <w:tab w:val="left" w:pos="9214"/>
              </w:tabs>
              <w:ind w:left="284"/>
              <w:jc w:val="both"/>
              <w:rPr>
                <w:rFonts w:ascii="Times New Roman" w:hAnsi="Times New Roman"/>
              </w:rPr>
            </w:pPr>
            <w:r w:rsidRPr="008F5684">
              <w:rPr>
                <w:rFonts w:ascii="Times New Roman" w:hAnsi="Times New Roman"/>
              </w:rPr>
              <w:t>ITPF Cash Fund</w:t>
            </w:r>
          </w:p>
        </w:tc>
        <w:tc>
          <w:tcPr>
            <w:tcW w:w="2410" w:type="dxa"/>
          </w:tcPr>
          <w:p w14:paraId="52A22D2E" w14:textId="77777777" w:rsidR="001261D6" w:rsidRPr="008F5684" w:rsidRDefault="001261D6" w:rsidP="00770C62">
            <w:pPr>
              <w:tabs>
                <w:tab w:val="left" w:pos="9214"/>
              </w:tabs>
              <w:ind w:left="284"/>
              <w:jc w:val="center"/>
              <w:rPr>
                <w:rFonts w:ascii="Times New Roman" w:hAnsi="Times New Roman"/>
              </w:rPr>
            </w:pPr>
            <w:r w:rsidRPr="008F5684">
              <w:rPr>
                <w:rFonts w:ascii="Times New Roman" w:hAnsi="Times New Roman"/>
              </w:rPr>
              <w:t>0.32</w:t>
            </w:r>
          </w:p>
        </w:tc>
        <w:tc>
          <w:tcPr>
            <w:tcW w:w="2835" w:type="dxa"/>
          </w:tcPr>
          <w:p w14:paraId="32AC3286" w14:textId="653F63B4" w:rsidR="001261D6" w:rsidRPr="008F5684" w:rsidRDefault="009A3E66" w:rsidP="00770C62">
            <w:pPr>
              <w:tabs>
                <w:tab w:val="left" w:pos="9214"/>
              </w:tabs>
              <w:ind w:left="284"/>
              <w:jc w:val="center"/>
              <w:rPr>
                <w:rFonts w:ascii="Times New Roman" w:hAnsi="Times New Roman"/>
              </w:rPr>
            </w:pPr>
            <w:r>
              <w:rPr>
                <w:rFonts w:ascii="Times New Roman" w:hAnsi="Times New Roman"/>
              </w:rPr>
              <w:t>0.33</w:t>
            </w:r>
          </w:p>
        </w:tc>
      </w:tr>
    </w:tbl>
    <w:p w14:paraId="7F019386" w14:textId="77777777" w:rsidR="00B87F20" w:rsidRDefault="00B87F20" w:rsidP="00770C62">
      <w:pPr>
        <w:tabs>
          <w:tab w:val="left" w:pos="9214"/>
        </w:tabs>
        <w:ind w:left="284"/>
        <w:jc w:val="both"/>
        <w:rPr>
          <w:rFonts w:ascii="Times New Roman" w:hAnsi="Times New Roman"/>
        </w:rPr>
      </w:pPr>
    </w:p>
    <w:p w14:paraId="58A2BC9D" w14:textId="44A16737" w:rsidR="001261D6" w:rsidRDefault="001261D6" w:rsidP="009B2A0E">
      <w:pPr>
        <w:tabs>
          <w:tab w:val="left" w:pos="9214"/>
        </w:tabs>
        <w:ind w:left="284" w:right="621"/>
        <w:jc w:val="both"/>
        <w:rPr>
          <w:rFonts w:ascii="Times New Roman" w:hAnsi="Times New Roman"/>
        </w:rPr>
      </w:pPr>
      <w:r w:rsidRPr="008F5684">
        <w:rPr>
          <w:rFonts w:ascii="Times New Roman" w:hAnsi="Times New Roman"/>
        </w:rPr>
        <w:t xml:space="preserve">As the default is a lifestyle approach, members’ assets are automatically moved between different investment funds as they approach their target retirement date. This means that the level of charges varies from between 0.53% and 0.58% depending on how close members are to their target retirement date.  </w:t>
      </w:r>
    </w:p>
    <w:p w14:paraId="1C0BCE4C" w14:textId="77777777" w:rsidR="001261D6" w:rsidRDefault="001261D6" w:rsidP="009B2A0E">
      <w:pPr>
        <w:pStyle w:val="BodyText"/>
        <w:tabs>
          <w:tab w:val="left" w:pos="1901"/>
        </w:tabs>
        <w:ind w:left="284" w:right="621"/>
        <w:jc w:val="both"/>
      </w:pPr>
    </w:p>
    <w:p w14:paraId="30FF8D03" w14:textId="7E062F81" w:rsidR="00FA6C4E" w:rsidRPr="00B87F20" w:rsidRDefault="00982EAB" w:rsidP="009B2A0E">
      <w:pPr>
        <w:pStyle w:val="BodyText"/>
        <w:ind w:left="284" w:right="621"/>
        <w:rPr>
          <w:rFonts w:ascii="Times New Roman" w:hAnsi="Times New Roman" w:cs="Times New Roman"/>
          <w:i/>
          <w:iCs/>
        </w:rPr>
      </w:pPr>
      <w:r w:rsidRPr="00B87F20">
        <w:rPr>
          <w:rFonts w:ascii="Times New Roman" w:hAnsi="Times New Roman" w:cs="Times New Roman"/>
          <w:i/>
          <w:iCs/>
        </w:rPr>
        <w:t>Net investment returns</w:t>
      </w:r>
    </w:p>
    <w:p w14:paraId="54CF5EF5" w14:textId="77777777" w:rsidR="00982EAB" w:rsidRPr="00B87F20" w:rsidRDefault="00982EAB" w:rsidP="009B2A0E">
      <w:pPr>
        <w:pStyle w:val="BodyText"/>
        <w:ind w:left="284" w:right="621"/>
        <w:rPr>
          <w:rFonts w:ascii="Times New Roman" w:hAnsi="Times New Roman" w:cs="Times New Roman"/>
        </w:rPr>
      </w:pPr>
    </w:p>
    <w:p w14:paraId="56D16CD4" w14:textId="4BE0F04B" w:rsidR="00FA6C4E" w:rsidRPr="00B87F20" w:rsidRDefault="00FA6C4E" w:rsidP="009B2A0E">
      <w:pPr>
        <w:pStyle w:val="BodyText"/>
        <w:ind w:left="284" w:right="621"/>
        <w:rPr>
          <w:rFonts w:ascii="Times New Roman" w:hAnsi="Times New Roman" w:cs="Times New Roman"/>
        </w:rPr>
      </w:pPr>
      <w:r w:rsidRPr="00B87F20">
        <w:rPr>
          <w:rFonts w:ascii="Times New Roman" w:hAnsi="Times New Roman" w:cs="Times New Roman"/>
        </w:rPr>
        <w:t xml:space="preserve">For the arrangements where investment returns vary with age, such as the default strategy and the alternative lifestyle strategies, there is a requirement to show investment returns over various periods to the end of the Fund year for a member aged 25, 45 and 55 at the start of the period the returns are shown over. Below are the </w:t>
      </w:r>
      <w:proofErr w:type="spellStart"/>
      <w:r w:rsidRPr="00B87F20">
        <w:rPr>
          <w:rFonts w:ascii="Times New Roman" w:hAnsi="Times New Roman" w:cs="Times New Roman"/>
        </w:rPr>
        <w:t>annualised</w:t>
      </w:r>
      <w:proofErr w:type="spellEnd"/>
      <w:r w:rsidRPr="00B87F20">
        <w:rPr>
          <w:rFonts w:ascii="Times New Roman" w:hAnsi="Times New Roman" w:cs="Times New Roman"/>
        </w:rPr>
        <w:t xml:space="preserve"> net investment returns to 31 </w:t>
      </w:r>
      <w:r w:rsidR="00FA6FD2">
        <w:rPr>
          <w:rFonts w:ascii="Times New Roman" w:hAnsi="Times New Roman" w:cs="Times New Roman"/>
        </w:rPr>
        <w:t>December</w:t>
      </w:r>
      <w:r w:rsidR="00FA6FD2" w:rsidRPr="00B87F20">
        <w:rPr>
          <w:rFonts w:ascii="Times New Roman" w:hAnsi="Times New Roman" w:cs="Times New Roman"/>
        </w:rPr>
        <w:t xml:space="preserve"> </w:t>
      </w:r>
      <w:r w:rsidRPr="00B87F20">
        <w:rPr>
          <w:rFonts w:ascii="Times New Roman" w:hAnsi="Times New Roman" w:cs="Times New Roman"/>
        </w:rPr>
        <w:t xml:space="preserve">2024 for all strategies where </w:t>
      </w:r>
      <w:proofErr w:type="spellStart"/>
      <w:r w:rsidRPr="00B87F20">
        <w:rPr>
          <w:rFonts w:ascii="Times New Roman" w:hAnsi="Times New Roman" w:cs="Times New Roman"/>
        </w:rPr>
        <w:t>lifestyling</w:t>
      </w:r>
      <w:proofErr w:type="spellEnd"/>
      <w:r w:rsidRPr="00B87F20">
        <w:rPr>
          <w:rFonts w:ascii="Times New Roman" w:hAnsi="Times New Roman" w:cs="Times New Roman"/>
        </w:rPr>
        <w:t xml:space="preserve"> takes place.</w:t>
      </w:r>
    </w:p>
    <w:p w14:paraId="3B48D875" w14:textId="77777777" w:rsidR="00FA6C4E" w:rsidRPr="00B87F20" w:rsidRDefault="00FA6C4E" w:rsidP="00770C62">
      <w:pPr>
        <w:pStyle w:val="BodyText"/>
        <w:ind w:left="404"/>
        <w:rPr>
          <w:rFonts w:ascii="Times New Roman" w:hAnsi="Times New Roman" w:cs="Times New Roman"/>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268"/>
        <w:gridCol w:w="2409"/>
      </w:tblGrid>
      <w:tr w:rsidR="00FA6C4E" w:rsidRPr="00B87F20" w14:paraId="5AEB407A" w14:textId="77777777" w:rsidTr="00770C62">
        <w:trPr>
          <w:trHeight w:val="827"/>
        </w:trPr>
        <w:tc>
          <w:tcPr>
            <w:tcW w:w="3686" w:type="dxa"/>
            <w:shd w:val="clear" w:color="auto" w:fill="F2F2F2" w:themeFill="background1" w:themeFillShade="F2"/>
          </w:tcPr>
          <w:p w14:paraId="74A4D95E" w14:textId="77777777" w:rsidR="00FA6C4E" w:rsidRPr="00B87F20" w:rsidRDefault="00FA6C4E">
            <w:pPr>
              <w:pStyle w:val="TableParagraph"/>
              <w:spacing w:before="10"/>
              <w:ind w:left="0"/>
              <w:rPr>
                <w:rFonts w:ascii="Times New Roman" w:hAnsi="Times New Roman" w:cs="Times New Roman"/>
              </w:rPr>
            </w:pPr>
          </w:p>
          <w:p w14:paraId="7333D552" w14:textId="77777777" w:rsidR="00FA6C4E" w:rsidRPr="00B87F20" w:rsidRDefault="00FA6C4E">
            <w:pPr>
              <w:pStyle w:val="TableParagraph"/>
              <w:rPr>
                <w:rFonts w:ascii="Times New Roman" w:hAnsi="Times New Roman" w:cs="Times New Roman"/>
                <w:spacing w:val="-2"/>
              </w:rPr>
            </w:pPr>
            <w:r w:rsidRPr="00B87F20">
              <w:rPr>
                <w:rFonts w:ascii="Times New Roman" w:hAnsi="Times New Roman" w:cs="Times New Roman"/>
              </w:rPr>
              <w:t>Time</w:t>
            </w:r>
            <w:r w:rsidRPr="00B87F20">
              <w:rPr>
                <w:rFonts w:ascii="Times New Roman" w:hAnsi="Times New Roman" w:cs="Times New Roman"/>
                <w:spacing w:val="-2"/>
              </w:rPr>
              <w:t xml:space="preserve"> period</w:t>
            </w:r>
          </w:p>
          <w:p w14:paraId="268B9377" w14:textId="77777777" w:rsidR="00FA6C4E" w:rsidRPr="00B87F20" w:rsidRDefault="00FA6C4E">
            <w:pPr>
              <w:pStyle w:val="TableParagraph"/>
              <w:rPr>
                <w:rFonts w:ascii="Times New Roman" w:hAnsi="Times New Roman" w:cs="Times New Roman"/>
              </w:rPr>
            </w:pPr>
          </w:p>
        </w:tc>
        <w:tc>
          <w:tcPr>
            <w:tcW w:w="2268" w:type="dxa"/>
            <w:shd w:val="clear" w:color="auto" w:fill="F2F2F2" w:themeFill="background1" w:themeFillShade="F2"/>
          </w:tcPr>
          <w:p w14:paraId="7E8BFD08" w14:textId="77777777" w:rsidR="00C07846" w:rsidRDefault="00FA6C4E" w:rsidP="00C07846">
            <w:pPr>
              <w:pStyle w:val="TableParagraph"/>
              <w:ind w:left="283" w:right="578"/>
              <w:jc w:val="center"/>
              <w:rPr>
                <w:rFonts w:ascii="Times New Roman" w:hAnsi="Times New Roman" w:cs="Times New Roman"/>
              </w:rPr>
            </w:pPr>
            <w:r w:rsidRPr="00B87F20">
              <w:rPr>
                <w:rFonts w:ascii="Times New Roman" w:hAnsi="Times New Roman" w:cs="Times New Roman"/>
              </w:rPr>
              <w:t xml:space="preserve">1 year (%) </w:t>
            </w:r>
          </w:p>
          <w:p w14:paraId="53A50CA1" w14:textId="6D9F6DC1" w:rsidR="00FA6C4E" w:rsidRPr="00B87F20" w:rsidRDefault="00FA6C4E" w:rsidP="00C07846">
            <w:pPr>
              <w:pStyle w:val="TableParagraph"/>
              <w:ind w:left="283" w:right="578"/>
              <w:jc w:val="center"/>
              <w:rPr>
                <w:rFonts w:ascii="Times New Roman" w:hAnsi="Times New Roman" w:cs="Times New Roman"/>
              </w:rPr>
            </w:pPr>
          </w:p>
        </w:tc>
        <w:tc>
          <w:tcPr>
            <w:tcW w:w="2409" w:type="dxa"/>
            <w:shd w:val="clear" w:color="auto" w:fill="F2F2F2" w:themeFill="background1" w:themeFillShade="F2"/>
          </w:tcPr>
          <w:p w14:paraId="7DE25281" w14:textId="656ED791" w:rsidR="00FA6C4E" w:rsidRPr="00B87F20" w:rsidRDefault="00FA6C4E" w:rsidP="00C07846">
            <w:pPr>
              <w:pStyle w:val="TableParagraph"/>
              <w:ind w:left="282"/>
              <w:jc w:val="center"/>
              <w:rPr>
                <w:rFonts w:ascii="Times New Roman" w:hAnsi="Times New Roman" w:cs="Times New Roman"/>
              </w:rPr>
            </w:pPr>
            <w:r w:rsidRPr="00B87F20">
              <w:rPr>
                <w:rFonts w:ascii="Times New Roman" w:hAnsi="Times New Roman" w:cs="Times New Roman"/>
              </w:rPr>
              <w:t>5</w:t>
            </w:r>
            <w:r w:rsidRPr="00B87F20">
              <w:rPr>
                <w:rFonts w:ascii="Times New Roman" w:hAnsi="Times New Roman" w:cs="Times New Roman"/>
                <w:spacing w:val="-14"/>
              </w:rPr>
              <w:t xml:space="preserve"> </w:t>
            </w:r>
            <w:r w:rsidRPr="00B87F20">
              <w:rPr>
                <w:rFonts w:ascii="Times New Roman" w:hAnsi="Times New Roman" w:cs="Times New Roman"/>
              </w:rPr>
              <w:t>years</w:t>
            </w:r>
            <w:r w:rsidRPr="00B87F20">
              <w:rPr>
                <w:rFonts w:ascii="Times New Roman" w:hAnsi="Times New Roman" w:cs="Times New Roman"/>
                <w:spacing w:val="-14"/>
              </w:rPr>
              <w:t xml:space="preserve"> </w:t>
            </w:r>
            <w:r w:rsidRPr="00B87F20">
              <w:rPr>
                <w:rFonts w:ascii="Times New Roman" w:hAnsi="Times New Roman" w:cs="Times New Roman"/>
              </w:rPr>
              <w:t>(%</w:t>
            </w:r>
            <w:r w:rsidRPr="00B87F20">
              <w:rPr>
                <w:rFonts w:ascii="Times New Roman" w:hAnsi="Times New Roman" w:cs="Times New Roman"/>
                <w:spacing w:val="-14"/>
              </w:rPr>
              <w:t xml:space="preserve"> </w:t>
            </w:r>
            <w:proofErr w:type="spellStart"/>
            <w:r w:rsidRPr="00B87F20">
              <w:rPr>
                <w:rFonts w:ascii="Times New Roman" w:hAnsi="Times New Roman" w:cs="Times New Roman"/>
              </w:rPr>
              <w:t>p.a</w:t>
            </w:r>
            <w:proofErr w:type="spellEnd"/>
            <w:r w:rsidRPr="00B87F20">
              <w:rPr>
                <w:rFonts w:ascii="Times New Roman" w:hAnsi="Times New Roman" w:cs="Times New Roman"/>
              </w:rPr>
              <w:t>)</w:t>
            </w:r>
          </w:p>
          <w:p w14:paraId="6E840CC8" w14:textId="4B01462C" w:rsidR="00FA6C4E" w:rsidRPr="00B87F20" w:rsidRDefault="00FA6C4E" w:rsidP="00C07846">
            <w:pPr>
              <w:pStyle w:val="TableParagraph"/>
              <w:ind w:left="282"/>
              <w:jc w:val="center"/>
              <w:rPr>
                <w:rFonts w:ascii="Times New Roman" w:hAnsi="Times New Roman" w:cs="Times New Roman"/>
              </w:rPr>
            </w:pPr>
          </w:p>
        </w:tc>
      </w:tr>
      <w:tr w:rsidR="00FA6C4E" w:rsidRPr="00B87F20" w14:paraId="2B809625" w14:textId="77777777" w:rsidTr="00770C62">
        <w:trPr>
          <w:trHeight w:val="275"/>
        </w:trPr>
        <w:tc>
          <w:tcPr>
            <w:tcW w:w="3686" w:type="dxa"/>
            <w:shd w:val="clear" w:color="auto" w:fill="D9D9D9" w:themeFill="background1" w:themeFillShade="D9"/>
          </w:tcPr>
          <w:p w14:paraId="0E1570D9" w14:textId="77777777" w:rsidR="00FA6C4E" w:rsidRPr="00B87F20" w:rsidRDefault="00FA6C4E">
            <w:pPr>
              <w:pStyle w:val="TableParagraph"/>
              <w:rPr>
                <w:rFonts w:ascii="Times New Roman" w:hAnsi="Times New Roman" w:cs="Times New Roman"/>
              </w:rPr>
            </w:pPr>
            <w:r w:rsidRPr="003E5016">
              <w:rPr>
                <w:rFonts w:ascii="Times New Roman" w:hAnsi="Times New Roman" w:cs="Times New Roman"/>
                <w:color w:val="000000" w:themeColor="text1"/>
              </w:rPr>
              <w:t>Age</w:t>
            </w:r>
            <w:r w:rsidRPr="003E5016">
              <w:rPr>
                <w:rFonts w:ascii="Times New Roman" w:hAnsi="Times New Roman" w:cs="Times New Roman"/>
                <w:color w:val="000000" w:themeColor="text1"/>
                <w:spacing w:val="-2"/>
              </w:rPr>
              <w:t xml:space="preserve"> </w:t>
            </w:r>
            <w:r w:rsidRPr="003E5016">
              <w:rPr>
                <w:rFonts w:ascii="Times New Roman" w:hAnsi="Times New Roman" w:cs="Times New Roman"/>
                <w:color w:val="000000" w:themeColor="text1"/>
              </w:rPr>
              <w:t>of</w:t>
            </w:r>
            <w:r w:rsidRPr="003E5016">
              <w:rPr>
                <w:rFonts w:ascii="Times New Roman" w:hAnsi="Times New Roman" w:cs="Times New Roman"/>
                <w:color w:val="000000" w:themeColor="text1"/>
                <w:spacing w:val="-1"/>
              </w:rPr>
              <w:t xml:space="preserve"> </w:t>
            </w:r>
            <w:r w:rsidRPr="003E5016">
              <w:rPr>
                <w:rFonts w:ascii="Times New Roman" w:hAnsi="Times New Roman" w:cs="Times New Roman"/>
                <w:color w:val="000000" w:themeColor="text1"/>
              </w:rPr>
              <w:t>member</w:t>
            </w:r>
            <w:r w:rsidRPr="003E5016">
              <w:rPr>
                <w:rFonts w:ascii="Times New Roman" w:hAnsi="Times New Roman" w:cs="Times New Roman"/>
                <w:color w:val="000000" w:themeColor="text1"/>
                <w:spacing w:val="-2"/>
              </w:rPr>
              <w:t xml:space="preserve"> </w:t>
            </w:r>
            <w:r w:rsidRPr="003E5016">
              <w:rPr>
                <w:rFonts w:ascii="Times New Roman" w:hAnsi="Times New Roman" w:cs="Times New Roman"/>
                <w:color w:val="000000" w:themeColor="text1"/>
              </w:rPr>
              <w:t>at beginning</w:t>
            </w:r>
            <w:r w:rsidRPr="003E5016">
              <w:rPr>
                <w:rFonts w:ascii="Times New Roman" w:hAnsi="Times New Roman" w:cs="Times New Roman"/>
                <w:color w:val="000000" w:themeColor="text1"/>
                <w:spacing w:val="-1"/>
              </w:rPr>
              <w:t xml:space="preserve"> </w:t>
            </w:r>
            <w:r w:rsidRPr="003E5016">
              <w:rPr>
                <w:rFonts w:ascii="Times New Roman" w:hAnsi="Times New Roman" w:cs="Times New Roman"/>
                <w:color w:val="000000" w:themeColor="text1"/>
              </w:rPr>
              <w:t>of</w:t>
            </w:r>
            <w:r w:rsidRPr="003E5016">
              <w:rPr>
                <w:rFonts w:ascii="Times New Roman" w:hAnsi="Times New Roman" w:cs="Times New Roman"/>
                <w:color w:val="000000" w:themeColor="text1"/>
                <w:spacing w:val="-1"/>
              </w:rPr>
              <w:t xml:space="preserve"> </w:t>
            </w:r>
            <w:r w:rsidRPr="003E5016">
              <w:rPr>
                <w:rFonts w:ascii="Times New Roman" w:hAnsi="Times New Roman" w:cs="Times New Roman"/>
                <w:color w:val="000000" w:themeColor="text1"/>
              </w:rPr>
              <w:t xml:space="preserve">period </w:t>
            </w:r>
            <w:r w:rsidRPr="003E5016">
              <w:rPr>
                <w:rFonts w:ascii="Times New Roman" w:hAnsi="Times New Roman" w:cs="Times New Roman"/>
                <w:color w:val="000000" w:themeColor="text1"/>
                <w:spacing w:val="-2"/>
              </w:rPr>
              <w:t>(years)</w:t>
            </w:r>
          </w:p>
        </w:tc>
        <w:tc>
          <w:tcPr>
            <w:tcW w:w="2268" w:type="dxa"/>
          </w:tcPr>
          <w:p w14:paraId="6796F737" w14:textId="77777777" w:rsidR="00FA6C4E" w:rsidRPr="00B87F20" w:rsidRDefault="00FA6C4E">
            <w:pPr>
              <w:pStyle w:val="TableParagraph"/>
              <w:ind w:left="0"/>
              <w:rPr>
                <w:rFonts w:ascii="Times New Roman" w:hAnsi="Times New Roman" w:cs="Times New Roman"/>
              </w:rPr>
            </w:pPr>
          </w:p>
        </w:tc>
        <w:tc>
          <w:tcPr>
            <w:tcW w:w="2409" w:type="dxa"/>
          </w:tcPr>
          <w:p w14:paraId="2596F6A3" w14:textId="77777777" w:rsidR="00FA6C4E" w:rsidRPr="00B87F20" w:rsidRDefault="00FA6C4E">
            <w:pPr>
              <w:pStyle w:val="TableParagraph"/>
              <w:ind w:left="0"/>
              <w:rPr>
                <w:rFonts w:ascii="Times New Roman" w:hAnsi="Times New Roman" w:cs="Times New Roman"/>
              </w:rPr>
            </w:pPr>
          </w:p>
        </w:tc>
      </w:tr>
      <w:tr w:rsidR="00FA6C4E" w:rsidRPr="00B87F20" w14:paraId="52DB0CAC" w14:textId="77777777" w:rsidTr="00770C62">
        <w:trPr>
          <w:trHeight w:val="275"/>
        </w:trPr>
        <w:tc>
          <w:tcPr>
            <w:tcW w:w="3686" w:type="dxa"/>
          </w:tcPr>
          <w:p w14:paraId="7F0CD57D" w14:textId="77777777" w:rsidR="00FA6C4E" w:rsidRPr="00B87F20" w:rsidRDefault="00FA6C4E">
            <w:pPr>
              <w:pStyle w:val="TableParagraph"/>
              <w:rPr>
                <w:rFonts w:ascii="Times New Roman" w:hAnsi="Times New Roman" w:cs="Times New Roman"/>
              </w:rPr>
            </w:pPr>
          </w:p>
        </w:tc>
        <w:tc>
          <w:tcPr>
            <w:tcW w:w="4677" w:type="dxa"/>
            <w:gridSpan w:val="2"/>
            <w:shd w:val="clear" w:color="auto" w:fill="D9D9D9" w:themeFill="background1" w:themeFillShade="D9"/>
          </w:tcPr>
          <w:p w14:paraId="2A672AA0" w14:textId="77777777" w:rsidR="00FA6C4E" w:rsidRPr="00B87F20" w:rsidRDefault="00FA6C4E" w:rsidP="00C07846">
            <w:pPr>
              <w:pStyle w:val="TableParagraph"/>
              <w:ind w:left="0"/>
              <w:jc w:val="center"/>
              <w:rPr>
                <w:rFonts w:ascii="Times New Roman" w:hAnsi="Times New Roman" w:cs="Times New Roman"/>
              </w:rPr>
            </w:pPr>
            <w:r w:rsidRPr="00B87F20">
              <w:rPr>
                <w:rFonts w:ascii="Times New Roman" w:hAnsi="Times New Roman" w:cs="Times New Roman"/>
              </w:rPr>
              <w:t>Variable Income Lifecycle -</w:t>
            </w:r>
            <w:r w:rsidRPr="00B87F20">
              <w:rPr>
                <w:rFonts w:ascii="Times New Roman" w:hAnsi="Times New Roman" w:cs="Times New Roman"/>
                <w:spacing w:val="-2"/>
              </w:rPr>
              <w:t xml:space="preserve"> Default</w:t>
            </w:r>
          </w:p>
        </w:tc>
      </w:tr>
      <w:tr w:rsidR="00FA6C4E" w:rsidRPr="00B87F20" w14:paraId="177F4C99" w14:textId="77777777" w:rsidTr="00770C62">
        <w:trPr>
          <w:trHeight w:val="275"/>
        </w:trPr>
        <w:tc>
          <w:tcPr>
            <w:tcW w:w="3686" w:type="dxa"/>
          </w:tcPr>
          <w:p w14:paraId="38820671" w14:textId="79D78796" w:rsidR="00FA6C4E" w:rsidRPr="00B87F20" w:rsidRDefault="00FA6C4E">
            <w:pPr>
              <w:pStyle w:val="TableParagraph"/>
              <w:rPr>
                <w:rFonts w:ascii="Times New Roman" w:hAnsi="Times New Roman" w:cs="Times New Roman"/>
              </w:rPr>
            </w:pPr>
            <w:r w:rsidRPr="00B87F20">
              <w:rPr>
                <w:rFonts w:ascii="Times New Roman" w:hAnsi="Times New Roman" w:cs="Times New Roman"/>
                <w:spacing w:val="-5"/>
              </w:rPr>
              <w:t>25</w:t>
            </w:r>
            <w:r w:rsidR="00FA6FD2">
              <w:rPr>
                <w:rFonts w:ascii="Times New Roman" w:hAnsi="Times New Roman" w:cs="Times New Roman"/>
                <w:spacing w:val="-5"/>
              </w:rPr>
              <w:t xml:space="preserve">, 45 and 55 </w:t>
            </w:r>
          </w:p>
        </w:tc>
        <w:tc>
          <w:tcPr>
            <w:tcW w:w="2268" w:type="dxa"/>
          </w:tcPr>
          <w:p w14:paraId="6F3DDC5D" w14:textId="0AEDE659" w:rsidR="00FA6C4E" w:rsidRPr="00B87F20" w:rsidRDefault="00FA6FD2">
            <w:pPr>
              <w:pStyle w:val="TableParagraph"/>
              <w:ind w:left="1082"/>
              <w:rPr>
                <w:rFonts w:ascii="Times New Roman" w:hAnsi="Times New Roman" w:cs="Times New Roman"/>
              </w:rPr>
            </w:pPr>
            <w:r>
              <w:rPr>
                <w:rFonts w:ascii="Times New Roman" w:hAnsi="Times New Roman" w:cs="Times New Roman"/>
              </w:rPr>
              <w:t>14.3</w:t>
            </w:r>
          </w:p>
        </w:tc>
        <w:tc>
          <w:tcPr>
            <w:tcW w:w="2409" w:type="dxa"/>
          </w:tcPr>
          <w:p w14:paraId="333BC848" w14:textId="63AA8812" w:rsidR="00FA6C4E" w:rsidRPr="00B87F20" w:rsidRDefault="00FA6FD2" w:rsidP="009B2A0E">
            <w:pPr>
              <w:pStyle w:val="TableParagraph"/>
              <w:ind w:left="711" w:right="1062" w:hanging="181"/>
              <w:jc w:val="center"/>
              <w:rPr>
                <w:rFonts w:ascii="Times New Roman" w:hAnsi="Times New Roman" w:cs="Times New Roman"/>
              </w:rPr>
            </w:pPr>
            <w:r>
              <w:rPr>
                <w:rFonts w:ascii="Times New Roman" w:hAnsi="Times New Roman" w:cs="Times New Roman"/>
              </w:rPr>
              <w:t>7.4</w:t>
            </w:r>
          </w:p>
        </w:tc>
      </w:tr>
      <w:tr w:rsidR="00FA6C4E" w:rsidRPr="00B87F20" w14:paraId="7C190D2D" w14:textId="77777777" w:rsidTr="00770C62">
        <w:trPr>
          <w:trHeight w:val="277"/>
        </w:trPr>
        <w:tc>
          <w:tcPr>
            <w:tcW w:w="3686" w:type="dxa"/>
          </w:tcPr>
          <w:p w14:paraId="6C782EDB" w14:textId="77777777" w:rsidR="00FA6C4E" w:rsidRPr="00B87F20" w:rsidRDefault="00FA6C4E">
            <w:pPr>
              <w:pStyle w:val="TableParagraph"/>
              <w:spacing w:before="1" w:line="257" w:lineRule="exact"/>
              <w:rPr>
                <w:rFonts w:ascii="Times New Roman" w:hAnsi="Times New Roman" w:cs="Times New Roman"/>
                <w:spacing w:val="-5"/>
              </w:rPr>
            </w:pPr>
          </w:p>
        </w:tc>
        <w:tc>
          <w:tcPr>
            <w:tcW w:w="4677" w:type="dxa"/>
            <w:gridSpan w:val="2"/>
            <w:shd w:val="clear" w:color="auto" w:fill="D9D9D9" w:themeFill="background1" w:themeFillShade="D9"/>
          </w:tcPr>
          <w:p w14:paraId="59AA7A0C" w14:textId="77777777" w:rsidR="00FA6C4E" w:rsidRPr="00B87F20" w:rsidRDefault="00FA6C4E" w:rsidP="009B2A0E">
            <w:pPr>
              <w:pStyle w:val="TableParagraph"/>
              <w:spacing w:before="1" w:line="257" w:lineRule="exact"/>
              <w:ind w:left="711" w:right="1062" w:hanging="181"/>
              <w:jc w:val="center"/>
              <w:rPr>
                <w:rFonts w:ascii="Times New Roman" w:hAnsi="Times New Roman" w:cs="Times New Roman"/>
              </w:rPr>
            </w:pPr>
            <w:r w:rsidRPr="00B87F20">
              <w:rPr>
                <w:rFonts w:ascii="Times New Roman" w:hAnsi="Times New Roman" w:cs="Times New Roman"/>
                <w:snapToGrid w:val="0"/>
                <w:spacing w:val="-3"/>
              </w:rPr>
              <w:t>Secured Income Lifecycle</w:t>
            </w:r>
          </w:p>
        </w:tc>
      </w:tr>
      <w:tr w:rsidR="00FA6FD2" w:rsidRPr="00B87F20" w14:paraId="00EBD897" w14:textId="77777777" w:rsidTr="00770C62">
        <w:trPr>
          <w:trHeight w:val="277"/>
        </w:trPr>
        <w:tc>
          <w:tcPr>
            <w:tcW w:w="3686" w:type="dxa"/>
          </w:tcPr>
          <w:p w14:paraId="681B69FC" w14:textId="202A6AAC" w:rsidR="00FA6FD2" w:rsidRPr="00B87F20" w:rsidRDefault="00FA6FD2" w:rsidP="00FA6FD2">
            <w:pPr>
              <w:pStyle w:val="TableParagraph"/>
              <w:spacing w:before="1" w:line="257" w:lineRule="exact"/>
              <w:rPr>
                <w:rFonts w:ascii="Times New Roman" w:hAnsi="Times New Roman" w:cs="Times New Roman"/>
                <w:spacing w:val="-5"/>
              </w:rPr>
            </w:pPr>
            <w:r w:rsidRPr="00B87F20">
              <w:rPr>
                <w:rFonts w:ascii="Times New Roman" w:hAnsi="Times New Roman" w:cs="Times New Roman"/>
                <w:spacing w:val="-5"/>
              </w:rPr>
              <w:t>25</w:t>
            </w:r>
            <w:r>
              <w:rPr>
                <w:rFonts w:ascii="Times New Roman" w:hAnsi="Times New Roman" w:cs="Times New Roman"/>
                <w:spacing w:val="-5"/>
              </w:rPr>
              <w:t xml:space="preserve">, 45 and 55 </w:t>
            </w:r>
          </w:p>
        </w:tc>
        <w:tc>
          <w:tcPr>
            <w:tcW w:w="2268" w:type="dxa"/>
          </w:tcPr>
          <w:p w14:paraId="7EBDE573" w14:textId="164B00D5" w:rsidR="00FA6FD2" w:rsidRPr="00B87F20" w:rsidRDefault="00FA6FD2" w:rsidP="00FA6FD2">
            <w:pPr>
              <w:pStyle w:val="TableParagraph"/>
              <w:spacing w:before="1" w:line="257" w:lineRule="exact"/>
              <w:ind w:left="1082"/>
              <w:rPr>
                <w:rFonts w:ascii="Times New Roman" w:hAnsi="Times New Roman" w:cs="Times New Roman"/>
              </w:rPr>
            </w:pPr>
            <w:r>
              <w:rPr>
                <w:rFonts w:ascii="Times New Roman" w:hAnsi="Times New Roman" w:cs="Times New Roman"/>
              </w:rPr>
              <w:t>14.3</w:t>
            </w:r>
          </w:p>
        </w:tc>
        <w:tc>
          <w:tcPr>
            <w:tcW w:w="2409" w:type="dxa"/>
          </w:tcPr>
          <w:p w14:paraId="5618651C" w14:textId="566BB5A2" w:rsidR="00FA6FD2" w:rsidRPr="00B87F20" w:rsidRDefault="00FA6FD2" w:rsidP="00FA6FD2">
            <w:pPr>
              <w:pStyle w:val="TableParagraph"/>
              <w:spacing w:before="1" w:line="257" w:lineRule="exact"/>
              <w:ind w:left="711" w:right="1062" w:hanging="181"/>
              <w:jc w:val="center"/>
              <w:rPr>
                <w:rFonts w:ascii="Times New Roman" w:hAnsi="Times New Roman" w:cs="Times New Roman"/>
              </w:rPr>
            </w:pPr>
            <w:r>
              <w:rPr>
                <w:rFonts w:ascii="Times New Roman" w:hAnsi="Times New Roman" w:cs="Times New Roman"/>
              </w:rPr>
              <w:t>7.4</w:t>
            </w:r>
          </w:p>
        </w:tc>
      </w:tr>
      <w:tr w:rsidR="00FA6C4E" w:rsidRPr="00B87F20" w14:paraId="2A492F05" w14:textId="77777777" w:rsidTr="00770C62">
        <w:trPr>
          <w:trHeight w:val="277"/>
        </w:trPr>
        <w:tc>
          <w:tcPr>
            <w:tcW w:w="3686" w:type="dxa"/>
          </w:tcPr>
          <w:p w14:paraId="6740B399" w14:textId="77777777" w:rsidR="00FA6C4E" w:rsidRPr="00B87F20" w:rsidRDefault="00FA6C4E">
            <w:pPr>
              <w:pStyle w:val="BodyText"/>
              <w:spacing w:before="76"/>
              <w:ind w:left="120"/>
              <w:jc w:val="center"/>
              <w:rPr>
                <w:rFonts w:ascii="Times New Roman" w:hAnsi="Times New Roman" w:cs="Times New Roman"/>
              </w:rPr>
            </w:pPr>
          </w:p>
        </w:tc>
        <w:tc>
          <w:tcPr>
            <w:tcW w:w="4677" w:type="dxa"/>
            <w:gridSpan w:val="2"/>
            <w:shd w:val="clear" w:color="auto" w:fill="D9D9D9" w:themeFill="background1" w:themeFillShade="D9"/>
          </w:tcPr>
          <w:p w14:paraId="3836D2FE" w14:textId="77777777" w:rsidR="00FA6C4E" w:rsidRPr="00B87F20" w:rsidRDefault="00FA6C4E" w:rsidP="009B2A0E">
            <w:pPr>
              <w:pStyle w:val="TableParagraph"/>
              <w:spacing w:before="1" w:line="257" w:lineRule="exact"/>
              <w:ind w:left="711" w:right="1062" w:hanging="181"/>
              <w:jc w:val="center"/>
              <w:rPr>
                <w:rFonts w:ascii="Times New Roman" w:hAnsi="Times New Roman" w:cs="Times New Roman"/>
              </w:rPr>
            </w:pPr>
            <w:r w:rsidRPr="00B87F20">
              <w:rPr>
                <w:rFonts w:ascii="Times New Roman" w:hAnsi="Times New Roman" w:cs="Times New Roman"/>
              </w:rPr>
              <w:t>Cash</w:t>
            </w:r>
            <w:r w:rsidRPr="00B87F20">
              <w:rPr>
                <w:rFonts w:ascii="Times New Roman" w:hAnsi="Times New Roman" w:cs="Times New Roman"/>
                <w:spacing w:val="-1"/>
              </w:rPr>
              <w:t xml:space="preserve"> </w:t>
            </w:r>
            <w:r w:rsidRPr="00B87F20">
              <w:rPr>
                <w:rFonts w:ascii="Times New Roman" w:hAnsi="Times New Roman" w:cs="Times New Roman"/>
                <w:spacing w:val="-2"/>
              </w:rPr>
              <w:t>Lifecycle</w:t>
            </w:r>
          </w:p>
        </w:tc>
      </w:tr>
      <w:tr w:rsidR="00FA6FD2" w:rsidRPr="00B87F20" w14:paraId="21765049" w14:textId="77777777" w:rsidTr="00FC6FF5">
        <w:trPr>
          <w:trHeight w:val="277"/>
        </w:trPr>
        <w:tc>
          <w:tcPr>
            <w:tcW w:w="3686" w:type="dxa"/>
          </w:tcPr>
          <w:p w14:paraId="549D9700" w14:textId="15B1A0D7" w:rsidR="00FA6FD2" w:rsidRPr="00B87F20" w:rsidRDefault="00FA6FD2" w:rsidP="00FA6FD2">
            <w:pPr>
              <w:pStyle w:val="TableParagraph"/>
              <w:spacing w:before="1" w:line="257" w:lineRule="exact"/>
              <w:rPr>
                <w:rFonts w:ascii="Times New Roman" w:hAnsi="Times New Roman" w:cs="Times New Roman"/>
                <w:snapToGrid w:val="0"/>
                <w:spacing w:val="-3"/>
              </w:rPr>
            </w:pPr>
            <w:r w:rsidRPr="00B87F20">
              <w:rPr>
                <w:rFonts w:ascii="Times New Roman" w:hAnsi="Times New Roman" w:cs="Times New Roman"/>
                <w:spacing w:val="-5"/>
              </w:rPr>
              <w:t>25</w:t>
            </w:r>
            <w:r>
              <w:rPr>
                <w:rFonts w:ascii="Times New Roman" w:hAnsi="Times New Roman" w:cs="Times New Roman"/>
                <w:spacing w:val="-5"/>
              </w:rPr>
              <w:t xml:space="preserve">, 45 and 55 </w:t>
            </w:r>
          </w:p>
        </w:tc>
        <w:tc>
          <w:tcPr>
            <w:tcW w:w="2268" w:type="dxa"/>
          </w:tcPr>
          <w:p w14:paraId="3CB6C014" w14:textId="5A74062F" w:rsidR="00FA6FD2" w:rsidRPr="00B87F20" w:rsidRDefault="00FA6FD2" w:rsidP="00FA6FD2">
            <w:pPr>
              <w:pStyle w:val="TableParagraph"/>
              <w:spacing w:before="1" w:line="257" w:lineRule="exact"/>
              <w:ind w:left="1082"/>
              <w:rPr>
                <w:rFonts w:ascii="Times New Roman" w:hAnsi="Times New Roman" w:cs="Times New Roman"/>
              </w:rPr>
            </w:pPr>
            <w:r>
              <w:rPr>
                <w:rFonts w:ascii="Times New Roman" w:hAnsi="Times New Roman" w:cs="Times New Roman"/>
              </w:rPr>
              <w:t>14.3</w:t>
            </w:r>
          </w:p>
        </w:tc>
        <w:tc>
          <w:tcPr>
            <w:tcW w:w="2409" w:type="dxa"/>
          </w:tcPr>
          <w:p w14:paraId="49F39A61" w14:textId="301E2E1D" w:rsidR="00FA6FD2" w:rsidRPr="00B87F20" w:rsidRDefault="00FA6FD2" w:rsidP="00FA6FD2">
            <w:pPr>
              <w:pStyle w:val="TableParagraph"/>
              <w:spacing w:before="1" w:line="257" w:lineRule="exact"/>
              <w:ind w:left="711" w:right="1062" w:hanging="181"/>
              <w:jc w:val="center"/>
              <w:rPr>
                <w:rFonts w:ascii="Times New Roman" w:hAnsi="Times New Roman" w:cs="Times New Roman"/>
              </w:rPr>
            </w:pPr>
            <w:r>
              <w:rPr>
                <w:rFonts w:ascii="Times New Roman" w:hAnsi="Times New Roman" w:cs="Times New Roman"/>
              </w:rPr>
              <w:t>7.4</w:t>
            </w:r>
          </w:p>
        </w:tc>
      </w:tr>
    </w:tbl>
    <w:p w14:paraId="26821ECB" w14:textId="77777777" w:rsidR="003E043C" w:rsidRDefault="003E043C" w:rsidP="00FC6FF5">
      <w:pPr>
        <w:pStyle w:val="ListParagraph"/>
        <w:tabs>
          <w:tab w:val="left" w:pos="839"/>
          <w:tab w:val="left" w:pos="840"/>
        </w:tabs>
        <w:ind w:left="1441" w:right="1119" w:firstLine="0"/>
        <w:rPr>
          <w:rFonts w:ascii="Times New Roman" w:hAnsi="Times New Roman" w:cs="Times New Roman"/>
          <w:spacing w:val="-2"/>
        </w:rPr>
      </w:pPr>
    </w:p>
    <w:p w14:paraId="75576399" w14:textId="5D7682BB" w:rsidR="00FA6C4E" w:rsidRPr="00B87F20" w:rsidRDefault="00FA6C4E" w:rsidP="00FC6FF5">
      <w:pPr>
        <w:pStyle w:val="ListParagraph"/>
        <w:tabs>
          <w:tab w:val="left" w:pos="839"/>
          <w:tab w:val="left" w:pos="840"/>
        </w:tabs>
        <w:ind w:left="1441" w:right="1119" w:firstLine="0"/>
        <w:rPr>
          <w:rFonts w:ascii="Times New Roman" w:hAnsi="Times New Roman" w:cs="Times New Roman"/>
        </w:rPr>
      </w:pPr>
      <w:r w:rsidRPr="00B87F20">
        <w:rPr>
          <w:rFonts w:ascii="Times New Roman" w:hAnsi="Times New Roman" w:cs="Times New Roman"/>
          <w:spacing w:val="-2"/>
        </w:rPr>
        <w:t>Notes:</w:t>
      </w:r>
      <w:r w:rsidR="00FA6FD2">
        <w:rPr>
          <w:rFonts w:ascii="Times New Roman" w:hAnsi="Times New Roman" w:cs="Times New Roman"/>
          <w:spacing w:val="-2"/>
        </w:rPr>
        <w:t xml:space="preserve"> </w:t>
      </w:r>
      <w:r w:rsidRPr="00B87F20">
        <w:rPr>
          <w:rFonts w:ascii="Times New Roman" w:hAnsi="Times New Roman" w:cs="Times New Roman"/>
        </w:rPr>
        <w:t xml:space="preserve">Age-related returns for members in lifestyle strategies assume annual switching in the </w:t>
      </w:r>
      <w:r w:rsidRPr="00B87F20">
        <w:rPr>
          <w:rFonts w:ascii="Times New Roman" w:hAnsi="Times New Roman" w:cs="Times New Roman"/>
          <w:spacing w:val="-2"/>
        </w:rPr>
        <w:t>glidepath</w:t>
      </w:r>
    </w:p>
    <w:p w14:paraId="1FCC6428" w14:textId="77777777" w:rsidR="00DB72A3" w:rsidRPr="00B87F20" w:rsidRDefault="00DB72A3">
      <w:pPr>
        <w:pStyle w:val="BodyText"/>
        <w:tabs>
          <w:tab w:val="left" w:pos="1901"/>
        </w:tabs>
        <w:ind w:left="199"/>
        <w:jc w:val="both"/>
        <w:rPr>
          <w:rFonts w:ascii="Times New Roman" w:hAnsi="Times New Roman" w:cs="Times New Roman"/>
        </w:rPr>
      </w:pPr>
    </w:p>
    <w:sectPr w:rsidR="00DB72A3" w:rsidRPr="00B87F20" w:rsidSect="009B2A0E">
      <w:pgSz w:w="11900" w:h="16840"/>
      <w:pgMar w:top="1440" w:right="985" w:bottom="1440" w:left="108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A56C" w14:textId="77777777" w:rsidR="006120E9" w:rsidRDefault="006120E9">
      <w:r>
        <w:separator/>
      </w:r>
    </w:p>
  </w:endnote>
  <w:endnote w:type="continuationSeparator" w:id="0">
    <w:p w14:paraId="6C3BE866" w14:textId="77777777" w:rsidR="006120E9" w:rsidRDefault="006120E9">
      <w:r>
        <w:continuationSeparator/>
      </w:r>
    </w:p>
  </w:endnote>
  <w:endnote w:type="continuationNotice" w:id="1">
    <w:p w14:paraId="7017D5AD" w14:textId="77777777" w:rsidR="006120E9" w:rsidRDefault="00612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834195"/>
      <w:docPartObj>
        <w:docPartGallery w:val="Page Numbers (Bottom of Page)"/>
        <w:docPartUnique/>
      </w:docPartObj>
    </w:sdtPr>
    <w:sdtEndPr>
      <w:rPr>
        <w:noProof/>
      </w:rPr>
    </w:sdtEndPr>
    <w:sdtContent>
      <w:p w14:paraId="4C9DC9B0" w14:textId="373D7A19" w:rsidR="002F70BA" w:rsidRDefault="002F70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F5EED" w14:textId="6A1B4AAB" w:rsidR="00AB3475" w:rsidRPr="00DD778E" w:rsidRDefault="00AB3475" w:rsidP="00DD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A13" w14:textId="77777777" w:rsidR="006120E9" w:rsidRDefault="006120E9">
      <w:r>
        <w:separator/>
      </w:r>
    </w:p>
  </w:footnote>
  <w:footnote w:type="continuationSeparator" w:id="0">
    <w:p w14:paraId="05135654" w14:textId="77777777" w:rsidR="006120E9" w:rsidRDefault="006120E9">
      <w:r>
        <w:continuationSeparator/>
      </w:r>
    </w:p>
  </w:footnote>
  <w:footnote w:type="continuationNotice" w:id="1">
    <w:p w14:paraId="22C4F75A" w14:textId="77777777" w:rsidR="006120E9" w:rsidRDefault="00612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2FAA" w14:textId="3EF6425D" w:rsidR="00DD778E" w:rsidRDefault="002F70BA" w:rsidP="002F70BA">
    <w:pPr>
      <w:pStyle w:val="Header"/>
      <w:tabs>
        <w:tab w:val="center" w:pos="5050"/>
        <w:tab w:val="left" w:pos="637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0A3"/>
    <w:multiLevelType w:val="hybridMultilevel"/>
    <w:tmpl w:val="322C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956A8"/>
    <w:multiLevelType w:val="hybridMultilevel"/>
    <w:tmpl w:val="7A8E0E5A"/>
    <w:lvl w:ilvl="0" w:tplc="08090001">
      <w:start w:val="1"/>
      <w:numFmt w:val="bullet"/>
      <w:lvlText w:val=""/>
      <w:lvlJc w:val="left"/>
      <w:pPr>
        <w:ind w:left="559" w:hanging="360"/>
      </w:pPr>
      <w:rPr>
        <w:rFonts w:ascii="Symbol" w:hAnsi="Symbol" w:hint="default"/>
      </w:rPr>
    </w:lvl>
    <w:lvl w:ilvl="1" w:tplc="08090003">
      <w:start w:val="1"/>
      <w:numFmt w:val="bullet"/>
      <w:lvlText w:val="o"/>
      <w:lvlJc w:val="left"/>
      <w:pPr>
        <w:ind w:left="1279" w:hanging="360"/>
      </w:pPr>
      <w:rPr>
        <w:rFonts w:ascii="Courier New" w:hAnsi="Courier New" w:cs="Courier New" w:hint="default"/>
      </w:rPr>
    </w:lvl>
    <w:lvl w:ilvl="2" w:tplc="08090005">
      <w:start w:val="1"/>
      <w:numFmt w:val="bullet"/>
      <w:lvlText w:val=""/>
      <w:lvlJc w:val="left"/>
      <w:pPr>
        <w:ind w:left="1999" w:hanging="360"/>
      </w:pPr>
      <w:rPr>
        <w:rFonts w:ascii="Wingdings" w:hAnsi="Wingdings" w:hint="default"/>
      </w:rPr>
    </w:lvl>
    <w:lvl w:ilvl="3" w:tplc="0809000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2" w15:restartNumberingAfterBreak="0">
    <w:nsid w:val="06603124"/>
    <w:multiLevelType w:val="multilevel"/>
    <w:tmpl w:val="D7E03DFC"/>
    <w:lvl w:ilvl="0">
      <w:start w:val="5"/>
      <w:numFmt w:val="decimal"/>
      <w:lvlText w:val="%1"/>
      <w:lvlJc w:val="left"/>
      <w:pPr>
        <w:ind w:left="624" w:hanging="425"/>
      </w:pPr>
      <w:rPr>
        <w:rFonts w:hint="default"/>
        <w:lang w:val="en-US" w:eastAsia="en-US" w:bidi="ar-SA"/>
      </w:rPr>
    </w:lvl>
    <w:lvl w:ilvl="1">
      <w:start w:val="4"/>
      <w:numFmt w:val="decimal"/>
      <w:lvlText w:val="%1.%2."/>
      <w:lvlJc w:val="left"/>
      <w:pPr>
        <w:ind w:left="624" w:hanging="425"/>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15" w:hanging="425"/>
      </w:pPr>
      <w:rPr>
        <w:rFonts w:hint="default"/>
        <w:lang w:val="en-US" w:eastAsia="en-US" w:bidi="ar-SA"/>
      </w:rPr>
    </w:lvl>
    <w:lvl w:ilvl="3">
      <w:numFmt w:val="bullet"/>
      <w:lvlText w:val="•"/>
      <w:lvlJc w:val="left"/>
      <w:pPr>
        <w:ind w:left="3463" w:hanging="425"/>
      </w:pPr>
      <w:rPr>
        <w:rFonts w:hint="default"/>
        <w:lang w:val="en-US" w:eastAsia="en-US" w:bidi="ar-SA"/>
      </w:rPr>
    </w:lvl>
    <w:lvl w:ilvl="4">
      <w:numFmt w:val="bullet"/>
      <w:lvlText w:val="•"/>
      <w:lvlJc w:val="left"/>
      <w:pPr>
        <w:ind w:left="4411" w:hanging="425"/>
      </w:pPr>
      <w:rPr>
        <w:rFonts w:hint="default"/>
        <w:lang w:val="en-US" w:eastAsia="en-US" w:bidi="ar-SA"/>
      </w:rPr>
    </w:lvl>
    <w:lvl w:ilvl="5">
      <w:numFmt w:val="bullet"/>
      <w:lvlText w:val="•"/>
      <w:lvlJc w:val="left"/>
      <w:pPr>
        <w:ind w:left="5359" w:hanging="425"/>
      </w:pPr>
      <w:rPr>
        <w:rFonts w:hint="default"/>
        <w:lang w:val="en-US" w:eastAsia="en-US" w:bidi="ar-SA"/>
      </w:rPr>
    </w:lvl>
    <w:lvl w:ilvl="6">
      <w:numFmt w:val="bullet"/>
      <w:lvlText w:val="•"/>
      <w:lvlJc w:val="left"/>
      <w:pPr>
        <w:ind w:left="6307" w:hanging="425"/>
      </w:pPr>
      <w:rPr>
        <w:rFonts w:hint="default"/>
        <w:lang w:val="en-US" w:eastAsia="en-US" w:bidi="ar-SA"/>
      </w:rPr>
    </w:lvl>
    <w:lvl w:ilvl="7">
      <w:numFmt w:val="bullet"/>
      <w:lvlText w:val="•"/>
      <w:lvlJc w:val="left"/>
      <w:pPr>
        <w:ind w:left="7255" w:hanging="425"/>
      </w:pPr>
      <w:rPr>
        <w:rFonts w:hint="default"/>
        <w:lang w:val="en-US" w:eastAsia="en-US" w:bidi="ar-SA"/>
      </w:rPr>
    </w:lvl>
    <w:lvl w:ilvl="8">
      <w:numFmt w:val="bullet"/>
      <w:lvlText w:val="•"/>
      <w:lvlJc w:val="left"/>
      <w:pPr>
        <w:ind w:left="8203" w:hanging="425"/>
      </w:pPr>
      <w:rPr>
        <w:rFonts w:hint="default"/>
        <w:lang w:val="en-US" w:eastAsia="en-US" w:bidi="ar-SA"/>
      </w:rPr>
    </w:lvl>
  </w:abstractNum>
  <w:abstractNum w:abstractNumId="3" w15:restartNumberingAfterBreak="0">
    <w:nsid w:val="07DE05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E7FEA"/>
    <w:multiLevelType w:val="multilevel"/>
    <w:tmpl w:val="DC264E5A"/>
    <w:lvl w:ilvl="0">
      <w:start w:val="1"/>
      <w:numFmt w:val="decimal"/>
      <w:lvlText w:val="%1."/>
      <w:lvlJc w:val="left"/>
      <w:pPr>
        <w:ind w:left="559" w:hanging="360"/>
      </w:pPr>
      <w:rPr>
        <w:rFonts w:hint="default"/>
      </w:rPr>
    </w:lvl>
    <w:lvl w:ilvl="1">
      <w:start w:val="1"/>
      <w:numFmt w:val="decimal"/>
      <w:lvlText w:val="%1.%2."/>
      <w:lvlJc w:val="left"/>
      <w:pPr>
        <w:ind w:left="991" w:hanging="432"/>
      </w:pPr>
      <w:rPr>
        <w:rFonts w:hint="default"/>
      </w:rPr>
    </w:lvl>
    <w:lvl w:ilvl="2">
      <w:start w:val="1"/>
      <w:numFmt w:val="decimal"/>
      <w:lvlText w:val="%1.%2.%3."/>
      <w:lvlJc w:val="left"/>
      <w:pPr>
        <w:ind w:left="1423" w:hanging="504"/>
      </w:pPr>
      <w:rPr>
        <w:rFonts w:hint="default"/>
        <w:b w:val="0"/>
        <w:bCs w:val="0"/>
        <w:i w:val="0"/>
        <w:iCs w:val="0"/>
        <w:spacing w:val="0"/>
        <w:w w:val="100"/>
        <w:sz w:val="22"/>
        <w:szCs w:val="22"/>
      </w:rPr>
    </w:lvl>
    <w:lvl w:ilvl="3">
      <w:start w:val="1"/>
      <w:numFmt w:val="decimal"/>
      <w:lvlText w:val="%1.%2.%3.%4."/>
      <w:lvlJc w:val="left"/>
      <w:pPr>
        <w:ind w:left="1927" w:hanging="648"/>
      </w:pPr>
      <w:rPr>
        <w:rFonts w:hint="default"/>
      </w:rPr>
    </w:lvl>
    <w:lvl w:ilvl="4">
      <w:start w:val="1"/>
      <w:numFmt w:val="decimal"/>
      <w:lvlText w:val="%1.%2.%3.%4.%5."/>
      <w:lvlJc w:val="left"/>
      <w:pPr>
        <w:ind w:left="2431" w:hanging="792"/>
      </w:pPr>
      <w:rPr>
        <w:rFonts w:hint="default"/>
      </w:rPr>
    </w:lvl>
    <w:lvl w:ilvl="5">
      <w:start w:val="1"/>
      <w:numFmt w:val="decimal"/>
      <w:lvlText w:val="%1.%2.%3.%4.%5.%6."/>
      <w:lvlJc w:val="left"/>
      <w:pPr>
        <w:ind w:left="2935" w:hanging="936"/>
      </w:pPr>
      <w:rPr>
        <w:rFonts w:hint="default"/>
      </w:rPr>
    </w:lvl>
    <w:lvl w:ilvl="6">
      <w:start w:val="1"/>
      <w:numFmt w:val="decimal"/>
      <w:lvlText w:val="%1.%2.%3.%4.%5.%6.%7."/>
      <w:lvlJc w:val="left"/>
      <w:pPr>
        <w:ind w:left="3439" w:hanging="1080"/>
      </w:pPr>
      <w:rPr>
        <w:rFonts w:hint="default"/>
      </w:rPr>
    </w:lvl>
    <w:lvl w:ilvl="7">
      <w:start w:val="1"/>
      <w:numFmt w:val="decimal"/>
      <w:lvlText w:val="%1.%2.%3.%4.%5.%6.%7.%8."/>
      <w:lvlJc w:val="left"/>
      <w:pPr>
        <w:ind w:left="3943" w:hanging="1224"/>
      </w:pPr>
      <w:rPr>
        <w:rFonts w:hint="default"/>
      </w:rPr>
    </w:lvl>
    <w:lvl w:ilvl="8">
      <w:start w:val="1"/>
      <w:numFmt w:val="decimal"/>
      <w:lvlText w:val="%1.%2.%3.%4.%5.%6.%7.%8.%9."/>
      <w:lvlJc w:val="left"/>
      <w:pPr>
        <w:ind w:left="4519" w:hanging="1440"/>
      </w:pPr>
      <w:rPr>
        <w:rFonts w:hint="default"/>
      </w:rPr>
    </w:lvl>
  </w:abstractNum>
  <w:abstractNum w:abstractNumId="5" w15:restartNumberingAfterBreak="0">
    <w:nsid w:val="12CA0148"/>
    <w:multiLevelType w:val="hybridMultilevel"/>
    <w:tmpl w:val="037E728E"/>
    <w:lvl w:ilvl="0" w:tplc="CD6AEDB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9A4713F"/>
    <w:multiLevelType w:val="hybridMultilevel"/>
    <w:tmpl w:val="76F0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E1DF1"/>
    <w:multiLevelType w:val="hybridMultilevel"/>
    <w:tmpl w:val="D51A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37483"/>
    <w:multiLevelType w:val="hybridMultilevel"/>
    <w:tmpl w:val="0B8C60BA"/>
    <w:lvl w:ilvl="0" w:tplc="2BBAECFA">
      <w:start w:val="1"/>
      <w:numFmt w:val="decimal"/>
      <w:lvlText w:val="%1."/>
      <w:lvlJc w:val="left"/>
      <w:pPr>
        <w:ind w:left="754" w:hanging="197"/>
      </w:pPr>
      <w:rPr>
        <w:rFonts w:ascii="Arial" w:eastAsia="Arial" w:hAnsi="Arial" w:cs="Arial" w:hint="default"/>
        <w:b w:val="0"/>
        <w:bCs w:val="0"/>
        <w:i w:val="0"/>
        <w:iCs w:val="0"/>
        <w:spacing w:val="-1"/>
        <w:w w:val="100"/>
        <w:sz w:val="20"/>
        <w:szCs w:val="20"/>
        <w:lang w:val="en-US" w:eastAsia="en-US" w:bidi="ar-SA"/>
      </w:rPr>
    </w:lvl>
    <w:lvl w:ilvl="1" w:tplc="F3BE4234">
      <w:numFmt w:val="bullet"/>
      <w:lvlText w:val="•"/>
      <w:lvlJc w:val="left"/>
      <w:pPr>
        <w:ind w:left="1693" w:hanging="197"/>
      </w:pPr>
      <w:rPr>
        <w:rFonts w:hint="default"/>
        <w:lang w:val="en-US" w:eastAsia="en-US" w:bidi="ar-SA"/>
      </w:rPr>
    </w:lvl>
    <w:lvl w:ilvl="2" w:tplc="4CBE73EA">
      <w:numFmt w:val="bullet"/>
      <w:lvlText w:val="•"/>
      <w:lvlJc w:val="left"/>
      <w:pPr>
        <w:ind w:left="2627" w:hanging="197"/>
      </w:pPr>
      <w:rPr>
        <w:rFonts w:hint="default"/>
        <w:lang w:val="en-US" w:eastAsia="en-US" w:bidi="ar-SA"/>
      </w:rPr>
    </w:lvl>
    <w:lvl w:ilvl="3" w:tplc="51A24D7A">
      <w:numFmt w:val="bullet"/>
      <w:lvlText w:val="•"/>
      <w:lvlJc w:val="left"/>
      <w:pPr>
        <w:ind w:left="3561" w:hanging="197"/>
      </w:pPr>
      <w:rPr>
        <w:rFonts w:hint="default"/>
        <w:lang w:val="en-US" w:eastAsia="en-US" w:bidi="ar-SA"/>
      </w:rPr>
    </w:lvl>
    <w:lvl w:ilvl="4" w:tplc="920087E0">
      <w:numFmt w:val="bullet"/>
      <w:lvlText w:val="•"/>
      <w:lvlJc w:val="left"/>
      <w:pPr>
        <w:ind w:left="4495" w:hanging="197"/>
      </w:pPr>
      <w:rPr>
        <w:rFonts w:hint="default"/>
        <w:lang w:val="en-US" w:eastAsia="en-US" w:bidi="ar-SA"/>
      </w:rPr>
    </w:lvl>
    <w:lvl w:ilvl="5" w:tplc="0546C7BE">
      <w:numFmt w:val="bullet"/>
      <w:lvlText w:val="•"/>
      <w:lvlJc w:val="left"/>
      <w:pPr>
        <w:ind w:left="5429" w:hanging="197"/>
      </w:pPr>
      <w:rPr>
        <w:rFonts w:hint="default"/>
        <w:lang w:val="en-US" w:eastAsia="en-US" w:bidi="ar-SA"/>
      </w:rPr>
    </w:lvl>
    <w:lvl w:ilvl="6" w:tplc="416A0D8E">
      <w:numFmt w:val="bullet"/>
      <w:lvlText w:val="•"/>
      <w:lvlJc w:val="left"/>
      <w:pPr>
        <w:ind w:left="6363" w:hanging="197"/>
      </w:pPr>
      <w:rPr>
        <w:rFonts w:hint="default"/>
        <w:lang w:val="en-US" w:eastAsia="en-US" w:bidi="ar-SA"/>
      </w:rPr>
    </w:lvl>
    <w:lvl w:ilvl="7" w:tplc="84B69C96">
      <w:numFmt w:val="bullet"/>
      <w:lvlText w:val="•"/>
      <w:lvlJc w:val="left"/>
      <w:pPr>
        <w:ind w:left="7297" w:hanging="197"/>
      </w:pPr>
      <w:rPr>
        <w:rFonts w:hint="default"/>
        <w:lang w:val="en-US" w:eastAsia="en-US" w:bidi="ar-SA"/>
      </w:rPr>
    </w:lvl>
    <w:lvl w:ilvl="8" w:tplc="A75AAACA">
      <w:numFmt w:val="bullet"/>
      <w:lvlText w:val="•"/>
      <w:lvlJc w:val="left"/>
      <w:pPr>
        <w:ind w:left="8231" w:hanging="197"/>
      </w:pPr>
      <w:rPr>
        <w:rFonts w:hint="default"/>
        <w:lang w:val="en-US" w:eastAsia="en-US" w:bidi="ar-SA"/>
      </w:rPr>
    </w:lvl>
  </w:abstractNum>
  <w:abstractNum w:abstractNumId="9" w15:restartNumberingAfterBreak="0">
    <w:nsid w:val="1ADB0C88"/>
    <w:multiLevelType w:val="hybridMultilevel"/>
    <w:tmpl w:val="D452D1C8"/>
    <w:lvl w:ilvl="0" w:tplc="7D8E329A">
      <w:numFmt w:val="bullet"/>
      <w:lvlText w:val=""/>
      <w:lvlJc w:val="left"/>
      <w:pPr>
        <w:ind w:left="698" w:hanging="142"/>
      </w:pPr>
      <w:rPr>
        <w:rFonts w:ascii="Symbol" w:eastAsia="Symbol" w:hAnsi="Symbol" w:cs="Symbol" w:hint="default"/>
        <w:b w:val="0"/>
        <w:bCs w:val="0"/>
        <w:i w:val="0"/>
        <w:iCs w:val="0"/>
        <w:spacing w:val="0"/>
        <w:w w:val="100"/>
        <w:sz w:val="22"/>
        <w:szCs w:val="22"/>
        <w:lang w:val="en-US" w:eastAsia="en-US" w:bidi="ar-SA"/>
      </w:rPr>
    </w:lvl>
    <w:lvl w:ilvl="1" w:tplc="88D021D2">
      <w:numFmt w:val="bullet"/>
      <w:lvlText w:val="•"/>
      <w:lvlJc w:val="left"/>
      <w:pPr>
        <w:ind w:left="1639" w:hanging="142"/>
      </w:pPr>
      <w:rPr>
        <w:rFonts w:hint="default"/>
        <w:lang w:val="en-US" w:eastAsia="en-US" w:bidi="ar-SA"/>
      </w:rPr>
    </w:lvl>
    <w:lvl w:ilvl="2" w:tplc="FCA29B04">
      <w:numFmt w:val="bullet"/>
      <w:lvlText w:val="•"/>
      <w:lvlJc w:val="left"/>
      <w:pPr>
        <w:ind w:left="2579" w:hanging="142"/>
      </w:pPr>
      <w:rPr>
        <w:rFonts w:hint="default"/>
        <w:lang w:val="en-US" w:eastAsia="en-US" w:bidi="ar-SA"/>
      </w:rPr>
    </w:lvl>
    <w:lvl w:ilvl="3" w:tplc="97840D80">
      <w:numFmt w:val="bullet"/>
      <w:lvlText w:val="•"/>
      <w:lvlJc w:val="left"/>
      <w:pPr>
        <w:ind w:left="3519" w:hanging="142"/>
      </w:pPr>
      <w:rPr>
        <w:rFonts w:hint="default"/>
        <w:lang w:val="en-US" w:eastAsia="en-US" w:bidi="ar-SA"/>
      </w:rPr>
    </w:lvl>
    <w:lvl w:ilvl="4" w:tplc="3844E792">
      <w:numFmt w:val="bullet"/>
      <w:lvlText w:val="•"/>
      <w:lvlJc w:val="left"/>
      <w:pPr>
        <w:ind w:left="4459" w:hanging="142"/>
      </w:pPr>
      <w:rPr>
        <w:rFonts w:hint="default"/>
        <w:lang w:val="en-US" w:eastAsia="en-US" w:bidi="ar-SA"/>
      </w:rPr>
    </w:lvl>
    <w:lvl w:ilvl="5" w:tplc="5858C22E">
      <w:numFmt w:val="bullet"/>
      <w:lvlText w:val="•"/>
      <w:lvlJc w:val="left"/>
      <w:pPr>
        <w:ind w:left="5399" w:hanging="142"/>
      </w:pPr>
      <w:rPr>
        <w:rFonts w:hint="default"/>
        <w:lang w:val="en-US" w:eastAsia="en-US" w:bidi="ar-SA"/>
      </w:rPr>
    </w:lvl>
    <w:lvl w:ilvl="6" w:tplc="19702514">
      <w:numFmt w:val="bullet"/>
      <w:lvlText w:val="•"/>
      <w:lvlJc w:val="left"/>
      <w:pPr>
        <w:ind w:left="6339" w:hanging="142"/>
      </w:pPr>
      <w:rPr>
        <w:rFonts w:hint="default"/>
        <w:lang w:val="en-US" w:eastAsia="en-US" w:bidi="ar-SA"/>
      </w:rPr>
    </w:lvl>
    <w:lvl w:ilvl="7" w:tplc="E7C06E34">
      <w:numFmt w:val="bullet"/>
      <w:lvlText w:val="•"/>
      <w:lvlJc w:val="left"/>
      <w:pPr>
        <w:ind w:left="7279" w:hanging="142"/>
      </w:pPr>
      <w:rPr>
        <w:rFonts w:hint="default"/>
        <w:lang w:val="en-US" w:eastAsia="en-US" w:bidi="ar-SA"/>
      </w:rPr>
    </w:lvl>
    <w:lvl w:ilvl="8" w:tplc="241E00F0">
      <w:numFmt w:val="bullet"/>
      <w:lvlText w:val="•"/>
      <w:lvlJc w:val="left"/>
      <w:pPr>
        <w:ind w:left="8219" w:hanging="142"/>
      </w:pPr>
      <w:rPr>
        <w:rFonts w:hint="default"/>
        <w:lang w:val="en-US" w:eastAsia="en-US" w:bidi="ar-SA"/>
      </w:rPr>
    </w:lvl>
  </w:abstractNum>
  <w:abstractNum w:abstractNumId="10" w15:restartNumberingAfterBreak="0">
    <w:nsid w:val="1D531E6A"/>
    <w:multiLevelType w:val="multilevel"/>
    <w:tmpl w:val="17347D52"/>
    <w:lvl w:ilvl="0">
      <w:start w:val="2"/>
      <w:numFmt w:val="decimal"/>
      <w:lvlText w:val="%1."/>
      <w:lvlJc w:val="left"/>
      <w:pPr>
        <w:ind w:left="919"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629" w:hanging="43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6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67" w:hanging="360"/>
      </w:pPr>
      <w:rPr>
        <w:rFonts w:hint="default"/>
        <w:lang w:val="en-US" w:eastAsia="en-US" w:bidi="ar-SA"/>
      </w:rPr>
    </w:lvl>
    <w:lvl w:ilvl="4">
      <w:numFmt w:val="bullet"/>
      <w:lvlText w:val="•"/>
      <w:lvlJc w:val="left"/>
      <w:pPr>
        <w:ind w:left="3214" w:hanging="360"/>
      </w:pPr>
      <w:rPr>
        <w:rFonts w:hint="default"/>
        <w:lang w:val="en-US" w:eastAsia="en-US" w:bidi="ar-SA"/>
      </w:rPr>
    </w:lvl>
    <w:lvl w:ilvl="5">
      <w:numFmt w:val="bullet"/>
      <w:lvlText w:val="•"/>
      <w:lvlJc w:val="left"/>
      <w:pPr>
        <w:ind w:left="4362" w:hanging="360"/>
      </w:pPr>
      <w:rPr>
        <w:rFonts w:hint="default"/>
        <w:lang w:val="en-US" w:eastAsia="en-US" w:bidi="ar-SA"/>
      </w:rPr>
    </w:lvl>
    <w:lvl w:ilvl="6">
      <w:numFmt w:val="bullet"/>
      <w:lvlText w:val="•"/>
      <w:lvlJc w:val="left"/>
      <w:pPr>
        <w:ind w:left="5509" w:hanging="360"/>
      </w:pPr>
      <w:rPr>
        <w:rFonts w:hint="default"/>
        <w:lang w:val="en-US" w:eastAsia="en-US" w:bidi="ar-SA"/>
      </w:rPr>
    </w:lvl>
    <w:lvl w:ilvl="7">
      <w:numFmt w:val="bullet"/>
      <w:lvlText w:val="•"/>
      <w:lvlJc w:val="left"/>
      <w:pPr>
        <w:ind w:left="6657" w:hanging="360"/>
      </w:pPr>
      <w:rPr>
        <w:rFonts w:hint="default"/>
        <w:lang w:val="en-US" w:eastAsia="en-US" w:bidi="ar-SA"/>
      </w:rPr>
    </w:lvl>
    <w:lvl w:ilvl="8">
      <w:numFmt w:val="bullet"/>
      <w:lvlText w:val="•"/>
      <w:lvlJc w:val="left"/>
      <w:pPr>
        <w:ind w:left="7804" w:hanging="360"/>
      </w:pPr>
      <w:rPr>
        <w:rFonts w:hint="default"/>
        <w:lang w:val="en-US" w:eastAsia="en-US" w:bidi="ar-SA"/>
      </w:rPr>
    </w:lvl>
  </w:abstractNum>
  <w:abstractNum w:abstractNumId="11" w15:restartNumberingAfterBreak="0">
    <w:nsid w:val="206F71C2"/>
    <w:multiLevelType w:val="multilevel"/>
    <w:tmpl w:val="CC66E058"/>
    <w:lvl w:ilvl="0">
      <w:start w:val="4"/>
      <w:numFmt w:val="decimal"/>
      <w:lvlText w:val="%1."/>
      <w:lvlJc w:val="left"/>
      <w:pPr>
        <w:ind w:left="919" w:hanging="720"/>
      </w:pPr>
      <w:rPr>
        <w:rFonts w:ascii="Arial" w:eastAsia="Arial" w:hAnsi="Arial" w:cs="Arial" w:hint="default"/>
        <w:b/>
        <w:bCs/>
        <w:i w:val="0"/>
        <w:iCs w:val="0"/>
        <w:spacing w:val="-1"/>
        <w:w w:val="100"/>
        <w:sz w:val="22"/>
        <w:szCs w:val="22"/>
      </w:rPr>
    </w:lvl>
    <w:lvl w:ilvl="1">
      <w:start w:val="1"/>
      <w:numFmt w:val="decimal"/>
      <w:lvlText w:val="%1.%2."/>
      <w:lvlJc w:val="left"/>
      <w:pPr>
        <w:ind w:left="629" w:hanging="430"/>
      </w:pPr>
      <w:rPr>
        <w:rFonts w:ascii="Arial" w:eastAsia="Arial" w:hAnsi="Arial" w:cs="Arial" w:hint="default"/>
        <w:b/>
        <w:bCs/>
        <w:i w:val="0"/>
        <w:iCs w:val="0"/>
        <w:spacing w:val="-1"/>
        <w:w w:val="100"/>
        <w:sz w:val="22"/>
        <w:szCs w:val="22"/>
      </w:rPr>
    </w:lvl>
    <w:lvl w:ilvl="2">
      <w:numFmt w:val="bullet"/>
      <w:lvlText w:val=""/>
      <w:lvlJc w:val="left"/>
      <w:pPr>
        <w:ind w:left="766" w:hanging="360"/>
      </w:pPr>
      <w:rPr>
        <w:rFonts w:ascii="Symbol" w:eastAsia="Symbol" w:hAnsi="Symbol" w:cs="Symbol" w:hint="default"/>
        <w:b w:val="0"/>
        <w:bCs w:val="0"/>
        <w:i w:val="0"/>
        <w:iCs w:val="0"/>
        <w:spacing w:val="0"/>
        <w:w w:val="100"/>
        <w:sz w:val="22"/>
        <w:szCs w:val="22"/>
      </w:rPr>
    </w:lvl>
    <w:lvl w:ilvl="3">
      <w:numFmt w:val="bullet"/>
      <w:lvlText w:val="•"/>
      <w:lvlJc w:val="left"/>
      <w:pPr>
        <w:ind w:left="2067" w:hanging="360"/>
      </w:pPr>
      <w:rPr>
        <w:rFonts w:hint="default"/>
      </w:rPr>
    </w:lvl>
    <w:lvl w:ilvl="4">
      <w:numFmt w:val="bullet"/>
      <w:lvlText w:val="•"/>
      <w:lvlJc w:val="left"/>
      <w:pPr>
        <w:ind w:left="3214" w:hanging="360"/>
      </w:pPr>
      <w:rPr>
        <w:rFonts w:hint="default"/>
      </w:rPr>
    </w:lvl>
    <w:lvl w:ilvl="5">
      <w:numFmt w:val="bullet"/>
      <w:lvlText w:val="•"/>
      <w:lvlJc w:val="left"/>
      <w:pPr>
        <w:ind w:left="4362" w:hanging="360"/>
      </w:pPr>
      <w:rPr>
        <w:rFonts w:hint="default"/>
      </w:rPr>
    </w:lvl>
    <w:lvl w:ilvl="6">
      <w:numFmt w:val="bullet"/>
      <w:lvlText w:val="•"/>
      <w:lvlJc w:val="left"/>
      <w:pPr>
        <w:ind w:left="5509" w:hanging="360"/>
      </w:pPr>
      <w:rPr>
        <w:rFonts w:hint="default"/>
      </w:rPr>
    </w:lvl>
    <w:lvl w:ilvl="7">
      <w:numFmt w:val="bullet"/>
      <w:lvlText w:val="•"/>
      <w:lvlJc w:val="left"/>
      <w:pPr>
        <w:ind w:left="6657" w:hanging="360"/>
      </w:pPr>
      <w:rPr>
        <w:rFonts w:hint="default"/>
      </w:rPr>
    </w:lvl>
    <w:lvl w:ilvl="8">
      <w:numFmt w:val="bullet"/>
      <w:lvlText w:val="•"/>
      <w:lvlJc w:val="left"/>
      <w:pPr>
        <w:ind w:left="7804" w:hanging="360"/>
      </w:pPr>
      <w:rPr>
        <w:rFonts w:hint="default"/>
      </w:rPr>
    </w:lvl>
  </w:abstractNum>
  <w:abstractNum w:abstractNumId="12" w15:restartNumberingAfterBreak="0">
    <w:nsid w:val="27092B9A"/>
    <w:multiLevelType w:val="hybridMultilevel"/>
    <w:tmpl w:val="CB4EF39E"/>
    <w:lvl w:ilvl="0" w:tplc="B888C66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8EC804EE">
      <w:numFmt w:val="bullet"/>
      <w:lvlText w:val="•"/>
      <w:lvlJc w:val="left"/>
      <w:pPr>
        <w:ind w:left="1782" w:hanging="360"/>
      </w:pPr>
      <w:rPr>
        <w:rFonts w:hint="default"/>
        <w:lang w:val="en-US" w:eastAsia="en-US" w:bidi="ar-SA"/>
      </w:rPr>
    </w:lvl>
    <w:lvl w:ilvl="2" w:tplc="8362EE8C">
      <w:numFmt w:val="bullet"/>
      <w:lvlText w:val="•"/>
      <w:lvlJc w:val="left"/>
      <w:pPr>
        <w:ind w:left="2725" w:hanging="360"/>
      </w:pPr>
      <w:rPr>
        <w:rFonts w:hint="default"/>
        <w:lang w:val="en-US" w:eastAsia="en-US" w:bidi="ar-SA"/>
      </w:rPr>
    </w:lvl>
    <w:lvl w:ilvl="3" w:tplc="F68045C2">
      <w:numFmt w:val="bullet"/>
      <w:lvlText w:val="•"/>
      <w:lvlJc w:val="left"/>
      <w:pPr>
        <w:ind w:left="3667" w:hanging="360"/>
      </w:pPr>
      <w:rPr>
        <w:rFonts w:hint="default"/>
        <w:lang w:val="en-US" w:eastAsia="en-US" w:bidi="ar-SA"/>
      </w:rPr>
    </w:lvl>
    <w:lvl w:ilvl="4" w:tplc="841A7ABA">
      <w:numFmt w:val="bullet"/>
      <w:lvlText w:val="•"/>
      <w:lvlJc w:val="left"/>
      <w:pPr>
        <w:ind w:left="4610" w:hanging="360"/>
      </w:pPr>
      <w:rPr>
        <w:rFonts w:hint="default"/>
        <w:lang w:val="en-US" w:eastAsia="en-US" w:bidi="ar-SA"/>
      </w:rPr>
    </w:lvl>
    <w:lvl w:ilvl="5" w:tplc="A9966816">
      <w:numFmt w:val="bullet"/>
      <w:lvlText w:val="•"/>
      <w:lvlJc w:val="left"/>
      <w:pPr>
        <w:ind w:left="5553" w:hanging="360"/>
      </w:pPr>
      <w:rPr>
        <w:rFonts w:hint="default"/>
        <w:lang w:val="en-US" w:eastAsia="en-US" w:bidi="ar-SA"/>
      </w:rPr>
    </w:lvl>
    <w:lvl w:ilvl="6" w:tplc="731C57FA">
      <w:numFmt w:val="bullet"/>
      <w:lvlText w:val="•"/>
      <w:lvlJc w:val="left"/>
      <w:pPr>
        <w:ind w:left="6495" w:hanging="360"/>
      </w:pPr>
      <w:rPr>
        <w:rFonts w:hint="default"/>
        <w:lang w:val="en-US" w:eastAsia="en-US" w:bidi="ar-SA"/>
      </w:rPr>
    </w:lvl>
    <w:lvl w:ilvl="7" w:tplc="92787ED6">
      <w:numFmt w:val="bullet"/>
      <w:lvlText w:val="•"/>
      <w:lvlJc w:val="left"/>
      <w:pPr>
        <w:ind w:left="7438" w:hanging="360"/>
      </w:pPr>
      <w:rPr>
        <w:rFonts w:hint="default"/>
        <w:lang w:val="en-US" w:eastAsia="en-US" w:bidi="ar-SA"/>
      </w:rPr>
    </w:lvl>
    <w:lvl w:ilvl="8" w:tplc="66761C70">
      <w:numFmt w:val="bullet"/>
      <w:lvlText w:val="•"/>
      <w:lvlJc w:val="left"/>
      <w:pPr>
        <w:ind w:left="8381" w:hanging="360"/>
      </w:pPr>
      <w:rPr>
        <w:rFonts w:hint="default"/>
        <w:lang w:val="en-US" w:eastAsia="en-US" w:bidi="ar-SA"/>
      </w:rPr>
    </w:lvl>
  </w:abstractNum>
  <w:abstractNum w:abstractNumId="13" w15:restartNumberingAfterBreak="0">
    <w:nsid w:val="27EF4458"/>
    <w:multiLevelType w:val="hybridMultilevel"/>
    <w:tmpl w:val="3F4E1AB0"/>
    <w:lvl w:ilvl="0" w:tplc="508C8480">
      <w:start w:val="1"/>
      <w:numFmt w:val="decimal"/>
      <w:lvlText w:val="%1."/>
      <w:lvlJc w:val="left"/>
      <w:pPr>
        <w:ind w:left="766" w:hanging="356"/>
      </w:pPr>
      <w:rPr>
        <w:rFonts w:ascii="Arial" w:eastAsia="Arial" w:hAnsi="Arial" w:cs="Arial" w:hint="default"/>
        <w:b w:val="0"/>
        <w:bCs w:val="0"/>
        <w:i w:val="0"/>
        <w:iCs w:val="0"/>
        <w:spacing w:val="-1"/>
        <w:w w:val="100"/>
        <w:sz w:val="22"/>
        <w:szCs w:val="22"/>
        <w:lang w:val="en-US" w:eastAsia="en-US" w:bidi="ar-SA"/>
      </w:rPr>
    </w:lvl>
    <w:lvl w:ilvl="1" w:tplc="A5C404B0">
      <w:numFmt w:val="bullet"/>
      <w:lvlText w:val="•"/>
      <w:lvlJc w:val="left"/>
      <w:pPr>
        <w:ind w:left="1693" w:hanging="356"/>
      </w:pPr>
      <w:rPr>
        <w:rFonts w:hint="default"/>
        <w:lang w:val="en-US" w:eastAsia="en-US" w:bidi="ar-SA"/>
      </w:rPr>
    </w:lvl>
    <w:lvl w:ilvl="2" w:tplc="42BC8F1E">
      <w:numFmt w:val="bullet"/>
      <w:lvlText w:val="•"/>
      <w:lvlJc w:val="left"/>
      <w:pPr>
        <w:ind w:left="2627" w:hanging="356"/>
      </w:pPr>
      <w:rPr>
        <w:rFonts w:hint="default"/>
        <w:lang w:val="en-US" w:eastAsia="en-US" w:bidi="ar-SA"/>
      </w:rPr>
    </w:lvl>
    <w:lvl w:ilvl="3" w:tplc="0BA40606">
      <w:numFmt w:val="bullet"/>
      <w:lvlText w:val="•"/>
      <w:lvlJc w:val="left"/>
      <w:pPr>
        <w:ind w:left="3561" w:hanging="356"/>
      </w:pPr>
      <w:rPr>
        <w:rFonts w:hint="default"/>
        <w:lang w:val="en-US" w:eastAsia="en-US" w:bidi="ar-SA"/>
      </w:rPr>
    </w:lvl>
    <w:lvl w:ilvl="4" w:tplc="7B447EF4">
      <w:numFmt w:val="bullet"/>
      <w:lvlText w:val="•"/>
      <w:lvlJc w:val="left"/>
      <w:pPr>
        <w:ind w:left="4495" w:hanging="356"/>
      </w:pPr>
      <w:rPr>
        <w:rFonts w:hint="default"/>
        <w:lang w:val="en-US" w:eastAsia="en-US" w:bidi="ar-SA"/>
      </w:rPr>
    </w:lvl>
    <w:lvl w:ilvl="5" w:tplc="C6CC1DD6">
      <w:numFmt w:val="bullet"/>
      <w:lvlText w:val="•"/>
      <w:lvlJc w:val="left"/>
      <w:pPr>
        <w:ind w:left="5429" w:hanging="356"/>
      </w:pPr>
      <w:rPr>
        <w:rFonts w:hint="default"/>
        <w:lang w:val="en-US" w:eastAsia="en-US" w:bidi="ar-SA"/>
      </w:rPr>
    </w:lvl>
    <w:lvl w:ilvl="6" w:tplc="E6BEB198">
      <w:numFmt w:val="bullet"/>
      <w:lvlText w:val="•"/>
      <w:lvlJc w:val="left"/>
      <w:pPr>
        <w:ind w:left="6363" w:hanging="356"/>
      </w:pPr>
      <w:rPr>
        <w:rFonts w:hint="default"/>
        <w:lang w:val="en-US" w:eastAsia="en-US" w:bidi="ar-SA"/>
      </w:rPr>
    </w:lvl>
    <w:lvl w:ilvl="7" w:tplc="C91E234C">
      <w:numFmt w:val="bullet"/>
      <w:lvlText w:val="•"/>
      <w:lvlJc w:val="left"/>
      <w:pPr>
        <w:ind w:left="7297" w:hanging="356"/>
      </w:pPr>
      <w:rPr>
        <w:rFonts w:hint="default"/>
        <w:lang w:val="en-US" w:eastAsia="en-US" w:bidi="ar-SA"/>
      </w:rPr>
    </w:lvl>
    <w:lvl w:ilvl="8" w:tplc="7DFC895A">
      <w:numFmt w:val="bullet"/>
      <w:lvlText w:val="•"/>
      <w:lvlJc w:val="left"/>
      <w:pPr>
        <w:ind w:left="8231" w:hanging="356"/>
      </w:pPr>
      <w:rPr>
        <w:rFonts w:hint="default"/>
        <w:lang w:val="en-US" w:eastAsia="en-US" w:bidi="ar-SA"/>
      </w:rPr>
    </w:lvl>
  </w:abstractNum>
  <w:abstractNum w:abstractNumId="14" w15:restartNumberingAfterBreak="0">
    <w:nsid w:val="30C772F9"/>
    <w:multiLevelType w:val="multilevel"/>
    <w:tmpl w:val="17347D52"/>
    <w:lvl w:ilvl="0">
      <w:start w:val="2"/>
      <w:numFmt w:val="decimal"/>
      <w:lvlText w:val="%1."/>
      <w:lvlJc w:val="left"/>
      <w:pPr>
        <w:ind w:left="919"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629" w:hanging="43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6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67" w:hanging="360"/>
      </w:pPr>
      <w:rPr>
        <w:rFonts w:hint="default"/>
        <w:lang w:val="en-US" w:eastAsia="en-US" w:bidi="ar-SA"/>
      </w:rPr>
    </w:lvl>
    <w:lvl w:ilvl="4">
      <w:numFmt w:val="bullet"/>
      <w:lvlText w:val="•"/>
      <w:lvlJc w:val="left"/>
      <w:pPr>
        <w:ind w:left="3214" w:hanging="360"/>
      </w:pPr>
      <w:rPr>
        <w:rFonts w:hint="default"/>
        <w:lang w:val="en-US" w:eastAsia="en-US" w:bidi="ar-SA"/>
      </w:rPr>
    </w:lvl>
    <w:lvl w:ilvl="5">
      <w:numFmt w:val="bullet"/>
      <w:lvlText w:val="•"/>
      <w:lvlJc w:val="left"/>
      <w:pPr>
        <w:ind w:left="4362" w:hanging="360"/>
      </w:pPr>
      <w:rPr>
        <w:rFonts w:hint="default"/>
        <w:lang w:val="en-US" w:eastAsia="en-US" w:bidi="ar-SA"/>
      </w:rPr>
    </w:lvl>
    <w:lvl w:ilvl="6">
      <w:numFmt w:val="bullet"/>
      <w:lvlText w:val="•"/>
      <w:lvlJc w:val="left"/>
      <w:pPr>
        <w:ind w:left="5509" w:hanging="360"/>
      </w:pPr>
      <w:rPr>
        <w:rFonts w:hint="default"/>
        <w:lang w:val="en-US" w:eastAsia="en-US" w:bidi="ar-SA"/>
      </w:rPr>
    </w:lvl>
    <w:lvl w:ilvl="7">
      <w:numFmt w:val="bullet"/>
      <w:lvlText w:val="•"/>
      <w:lvlJc w:val="left"/>
      <w:pPr>
        <w:ind w:left="6657" w:hanging="360"/>
      </w:pPr>
      <w:rPr>
        <w:rFonts w:hint="default"/>
        <w:lang w:val="en-US" w:eastAsia="en-US" w:bidi="ar-SA"/>
      </w:rPr>
    </w:lvl>
    <w:lvl w:ilvl="8">
      <w:numFmt w:val="bullet"/>
      <w:lvlText w:val="•"/>
      <w:lvlJc w:val="left"/>
      <w:pPr>
        <w:ind w:left="7804" w:hanging="360"/>
      </w:pPr>
      <w:rPr>
        <w:rFonts w:hint="default"/>
        <w:lang w:val="en-US" w:eastAsia="en-US" w:bidi="ar-SA"/>
      </w:rPr>
    </w:lvl>
  </w:abstractNum>
  <w:abstractNum w:abstractNumId="15" w15:restartNumberingAfterBreak="0">
    <w:nsid w:val="3656430E"/>
    <w:multiLevelType w:val="hybridMultilevel"/>
    <w:tmpl w:val="5D667EB8"/>
    <w:lvl w:ilvl="0" w:tplc="0809000F">
      <w:start w:val="1"/>
      <w:numFmt w:val="decimal"/>
      <w:lvlText w:val="%1."/>
      <w:lvlJc w:val="left"/>
      <w:pPr>
        <w:ind w:left="919" w:hanging="360"/>
      </w:p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6" w15:restartNumberingAfterBreak="0">
    <w:nsid w:val="40507CF3"/>
    <w:multiLevelType w:val="hybridMultilevel"/>
    <w:tmpl w:val="8DDEFBE0"/>
    <w:lvl w:ilvl="0" w:tplc="4F3AD1FC">
      <w:start w:val="1"/>
      <w:numFmt w:val="decimal"/>
      <w:lvlText w:val="%1."/>
      <w:lvlJc w:val="left"/>
      <w:pPr>
        <w:ind w:left="766" w:hanging="356"/>
      </w:pPr>
      <w:rPr>
        <w:rFonts w:ascii="Arial" w:eastAsia="Arial" w:hAnsi="Arial" w:cs="Arial" w:hint="default"/>
        <w:b w:val="0"/>
        <w:bCs w:val="0"/>
        <w:i w:val="0"/>
        <w:iCs w:val="0"/>
        <w:spacing w:val="-1"/>
        <w:w w:val="100"/>
        <w:sz w:val="22"/>
        <w:szCs w:val="22"/>
        <w:lang w:val="en-US" w:eastAsia="en-US" w:bidi="ar-SA"/>
      </w:rPr>
    </w:lvl>
    <w:lvl w:ilvl="1" w:tplc="40DE0D0C">
      <w:numFmt w:val="bullet"/>
      <w:lvlText w:val="•"/>
      <w:lvlJc w:val="left"/>
      <w:pPr>
        <w:ind w:left="1693" w:hanging="356"/>
      </w:pPr>
      <w:rPr>
        <w:rFonts w:hint="default"/>
        <w:lang w:val="en-US" w:eastAsia="en-US" w:bidi="ar-SA"/>
      </w:rPr>
    </w:lvl>
    <w:lvl w:ilvl="2" w:tplc="E8EA11F6">
      <w:numFmt w:val="bullet"/>
      <w:lvlText w:val="•"/>
      <w:lvlJc w:val="left"/>
      <w:pPr>
        <w:ind w:left="2627" w:hanging="356"/>
      </w:pPr>
      <w:rPr>
        <w:rFonts w:hint="default"/>
        <w:lang w:val="en-US" w:eastAsia="en-US" w:bidi="ar-SA"/>
      </w:rPr>
    </w:lvl>
    <w:lvl w:ilvl="3" w:tplc="5014972C">
      <w:numFmt w:val="bullet"/>
      <w:lvlText w:val="•"/>
      <w:lvlJc w:val="left"/>
      <w:pPr>
        <w:ind w:left="3561" w:hanging="356"/>
      </w:pPr>
      <w:rPr>
        <w:rFonts w:hint="default"/>
        <w:lang w:val="en-US" w:eastAsia="en-US" w:bidi="ar-SA"/>
      </w:rPr>
    </w:lvl>
    <w:lvl w:ilvl="4" w:tplc="07C09710">
      <w:numFmt w:val="bullet"/>
      <w:lvlText w:val="•"/>
      <w:lvlJc w:val="left"/>
      <w:pPr>
        <w:ind w:left="4495" w:hanging="356"/>
      </w:pPr>
      <w:rPr>
        <w:rFonts w:hint="default"/>
        <w:lang w:val="en-US" w:eastAsia="en-US" w:bidi="ar-SA"/>
      </w:rPr>
    </w:lvl>
    <w:lvl w:ilvl="5" w:tplc="CC489914">
      <w:numFmt w:val="bullet"/>
      <w:lvlText w:val="•"/>
      <w:lvlJc w:val="left"/>
      <w:pPr>
        <w:ind w:left="5429" w:hanging="356"/>
      </w:pPr>
      <w:rPr>
        <w:rFonts w:hint="default"/>
        <w:lang w:val="en-US" w:eastAsia="en-US" w:bidi="ar-SA"/>
      </w:rPr>
    </w:lvl>
    <w:lvl w:ilvl="6" w:tplc="323E04AE">
      <w:numFmt w:val="bullet"/>
      <w:lvlText w:val="•"/>
      <w:lvlJc w:val="left"/>
      <w:pPr>
        <w:ind w:left="6363" w:hanging="356"/>
      </w:pPr>
      <w:rPr>
        <w:rFonts w:hint="default"/>
        <w:lang w:val="en-US" w:eastAsia="en-US" w:bidi="ar-SA"/>
      </w:rPr>
    </w:lvl>
    <w:lvl w:ilvl="7" w:tplc="0A48B23E">
      <w:numFmt w:val="bullet"/>
      <w:lvlText w:val="•"/>
      <w:lvlJc w:val="left"/>
      <w:pPr>
        <w:ind w:left="7297" w:hanging="356"/>
      </w:pPr>
      <w:rPr>
        <w:rFonts w:hint="default"/>
        <w:lang w:val="en-US" w:eastAsia="en-US" w:bidi="ar-SA"/>
      </w:rPr>
    </w:lvl>
    <w:lvl w:ilvl="8" w:tplc="63F63C72">
      <w:numFmt w:val="bullet"/>
      <w:lvlText w:val="•"/>
      <w:lvlJc w:val="left"/>
      <w:pPr>
        <w:ind w:left="8231" w:hanging="356"/>
      </w:pPr>
      <w:rPr>
        <w:rFonts w:hint="default"/>
        <w:lang w:val="en-US" w:eastAsia="en-US" w:bidi="ar-SA"/>
      </w:rPr>
    </w:lvl>
  </w:abstractNum>
  <w:abstractNum w:abstractNumId="17" w15:restartNumberingAfterBreak="0">
    <w:nsid w:val="48D72AA9"/>
    <w:multiLevelType w:val="hybridMultilevel"/>
    <w:tmpl w:val="8222BE2C"/>
    <w:lvl w:ilvl="0" w:tplc="21C624B2">
      <w:numFmt w:val="bullet"/>
      <w:lvlText w:val=""/>
      <w:lvlJc w:val="left"/>
      <w:pPr>
        <w:ind w:left="766" w:hanging="360"/>
      </w:pPr>
      <w:rPr>
        <w:rFonts w:ascii="Symbol" w:eastAsia="Symbol" w:hAnsi="Symbol" w:cs="Symbol" w:hint="default"/>
        <w:b w:val="0"/>
        <w:bCs w:val="0"/>
        <w:i w:val="0"/>
        <w:iCs w:val="0"/>
        <w:spacing w:val="0"/>
        <w:w w:val="100"/>
        <w:sz w:val="22"/>
        <w:szCs w:val="22"/>
        <w:lang w:val="en-US" w:eastAsia="en-US" w:bidi="ar-SA"/>
      </w:rPr>
    </w:lvl>
    <w:lvl w:ilvl="1" w:tplc="2A9AA88C">
      <w:numFmt w:val="bullet"/>
      <w:lvlText w:val="•"/>
      <w:lvlJc w:val="left"/>
      <w:pPr>
        <w:ind w:left="1693" w:hanging="360"/>
      </w:pPr>
      <w:rPr>
        <w:rFonts w:hint="default"/>
        <w:lang w:val="en-US" w:eastAsia="en-US" w:bidi="ar-SA"/>
      </w:rPr>
    </w:lvl>
    <w:lvl w:ilvl="2" w:tplc="71F09C1C">
      <w:numFmt w:val="bullet"/>
      <w:lvlText w:val="•"/>
      <w:lvlJc w:val="left"/>
      <w:pPr>
        <w:ind w:left="2627" w:hanging="360"/>
      </w:pPr>
      <w:rPr>
        <w:rFonts w:hint="default"/>
        <w:lang w:val="en-US" w:eastAsia="en-US" w:bidi="ar-SA"/>
      </w:rPr>
    </w:lvl>
    <w:lvl w:ilvl="3" w:tplc="72828912">
      <w:numFmt w:val="bullet"/>
      <w:lvlText w:val="•"/>
      <w:lvlJc w:val="left"/>
      <w:pPr>
        <w:ind w:left="3561" w:hanging="360"/>
      </w:pPr>
      <w:rPr>
        <w:rFonts w:hint="default"/>
        <w:lang w:val="en-US" w:eastAsia="en-US" w:bidi="ar-SA"/>
      </w:rPr>
    </w:lvl>
    <w:lvl w:ilvl="4" w:tplc="1C00AAE6">
      <w:numFmt w:val="bullet"/>
      <w:lvlText w:val="•"/>
      <w:lvlJc w:val="left"/>
      <w:pPr>
        <w:ind w:left="4495" w:hanging="360"/>
      </w:pPr>
      <w:rPr>
        <w:rFonts w:hint="default"/>
        <w:lang w:val="en-US" w:eastAsia="en-US" w:bidi="ar-SA"/>
      </w:rPr>
    </w:lvl>
    <w:lvl w:ilvl="5" w:tplc="E7BCD0C0">
      <w:numFmt w:val="bullet"/>
      <w:lvlText w:val="•"/>
      <w:lvlJc w:val="left"/>
      <w:pPr>
        <w:ind w:left="5429" w:hanging="360"/>
      </w:pPr>
      <w:rPr>
        <w:rFonts w:hint="default"/>
        <w:lang w:val="en-US" w:eastAsia="en-US" w:bidi="ar-SA"/>
      </w:rPr>
    </w:lvl>
    <w:lvl w:ilvl="6" w:tplc="CDD28E88">
      <w:numFmt w:val="bullet"/>
      <w:lvlText w:val="•"/>
      <w:lvlJc w:val="left"/>
      <w:pPr>
        <w:ind w:left="6363" w:hanging="360"/>
      </w:pPr>
      <w:rPr>
        <w:rFonts w:hint="default"/>
        <w:lang w:val="en-US" w:eastAsia="en-US" w:bidi="ar-SA"/>
      </w:rPr>
    </w:lvl>
    <w:lvl w:ilvl="7" w:tplc="9FAAEC08">
      <w:numFmt w:val="bullet"/>
      <w:lvlText w:val="•"/>
      <w:lvlJc w:val="left"/>
      <w:pPr>
        <w:ind w:left="7297" w:hanging="360"/>
      </w:pPr>
      <w:rPr>
        <w:rFonts w:hint="default"/>
        <w:lang w:val="en-US" w:eastAsia="en-US" w:bidi="ar-SA"/>
      </w:rPr>
    </w:lvl>
    <w:lvl w:ilvl="8" w:tplc="B6428752">
      <w:numFmt w:val="bullet"/>
      <w:lvlText w:val="•"/>
      <w:lvlJc w:val="left"/>
      <w:pPr>
        <w:ind w:left="8231" w:hanging="360"/>
      </w:pPr>
      <w:rPr>
        <w:rFonts w:hint="default"/>
        <w:lang w:val="en-US" w:eastAsia="en-US" w:bidi="ar-SA"/>
      </w:rPr>
    </w:lvl>
  </w:abstractNum>
  <w:abstractNum w:abstractNumId="18" w15:restartNumberingAfterBreak="0">
    <w:nsid w:val="4DDD544C"/>
    <w:multiLevelType w:val="multilevel"/>
    <w:tmpl w:val="3D94A36A"/>
    <w:lvl w:ilvl="0">
      <w:start w:val="1"/>
      <w:numFmt w:val="decimal"/>
      <w:lvlText w:val="%1"/>
      <w:lvlJc w:val="left"/>
      <w:pPr>
        <w:ind w:left="629" w:hanging="430"/>
      </w:pPr>
      <w:rPr>
        <w:rFonts w:hint="default"/>
        <w:lang w:val="en-US" w:eastAsia="en-US" w:bidi="ar-SA"/>
      </w:rPr>
    </w:lvl>
    <w:lvl w:ilvl="1">
      <w:start w:val="2"/>
      <w:numFmt w:val="decimal"/>
      <w:lvlText w:val="%1.%2."/>
      <w:lvlJc w:val="left"/>
      <w:pPr>
        <w:ind w:left="629" w:hanging="43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15" w:hanging="430"/>
      </w:pPr>
      <w:rPr>
        <w:rFonts w:hint="default"/>
        <w:lang w:val="en-US" w:eastAsia="en-US" w:bidi="ar-SA"/>
      </w:rPr>
    </w:lvl>
    <w:lvl w:ilvl="3">
      <w:numFmt w:val="bullet"/>
      <w:lvlText w:val="•"/>
      <w:lvlJc w:val="left"/>
      <w:pPr>
        <w:ind w:left="3463" w:hanging="430"/>
      </w:pPr>
      <w:rPr>
        <w:rFonts w:hint="default"/>
        <w:lang w:val="en-US" w:eastAsia="en-US" w:bidi="ar-SA"/>
      </w:rPr>
    </w:lvl>
    <w:lvl w:ilvl="4">
      <w:numFmt w:val="bullet"/>
      <w:lvlText w:val="•"/>
      <w:lvlJc w:val="left"/>
      <w:pPr>
        <w:ind w:left="4411" w:hanging="430"/>
      </w:pPr>
      <w:rPr>
        <w:rFonts w:hint="default"/>
        <w:lang w:val="en-US" w:eastAsia="en-US" w:bidi="ar-SA"/>
      </w:rPr>
    </w:lvl>
    <w:lvl w:ilvl="5">
      <w:numFmt w:val="bullet"/>
      <w:lvlText w:val="•"/>
      <w:lvlJc w:val="left"/>
      <w:pPr>
        <w:ind w:left="5359" w:hanging="430"/>
      </w:pPr>
      <w:rPr>
        <w:rFonts w:hint="default"/>
        <w:lang w:val="en-US" w:eastAsia="en-US" w:bidi="ar-SA"/>
      </w:rPr>
    </w:lvl>
    <w:lvl w:ilvl="6">
      <w:numFmt w:val="bullet"/>
      <w:lvlText w:val="•"/>
      <w:lvlJc w:val="left"/>
      <w:pPr>
        <w:ind w:left="6307" w:hanging="430"/>
      </w:pPr>
      <w:rPr>
        <w:rFonts w:hint="default"/>
        <w:lang w:val="en-US" w:eastAsia="en-US" w:bidi="ar-SA"/>
      </w:rPr>
    </w:lvl>
    <w:lvl w:ilvl="7">
      <w:numFmt w:val="bullet"/>
      <w:lvlText w:val="•"/>
      <w:lvlJc w:val="left"/>
      <w:pPr>
        <w:ind w:left="7255" w:hanging="430"/>
      </w:pPr>
      <w:rPr>
        <w:rFonts w:hint="default"/>
        <w:lang w:val="en-US" w:eastAsia="en-US" w:bidi="ar-SA"/>
      </w:rPr>
    </w:lvl>
    <w:lvl w:ilvl="8">
      <w:numFmt w:val="bullet"/>
      <w:lvlText w:val="•"/>
      <w:lvlJc w:val="left"/>
      <w:pPr>
        <w:ind w:left="8203" w:hanging="430"/>
      </w:pPr>
      <w:rPr>
        <w:rFonts w:hint="default"/>
        <w:lang w:val="en-US" w:eastAsia="en-US" w:bidi="ar-SA"/>
      </w:rPr>
    </w:lvl>
  </w:abstractNum>
  <w:abstractNum w:abstractNumId="19" w15:restartNumberingAfterBreak="0">
    <w:nsid w:val="6735171E"/>
    <w:multiLevelType w:val="hybridMultilevel"/>
    <w:tmpl w:val="0DE6B6FC"/>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20" w15:restartNumberingAfterBreak="0">
    <w:nsid w:val="698D2122"/>
    <w:multiLevelType w:val="multilevel"/>
    <w:tmpl w:val="A9A6E702"/>
    <w:lvl w:ilvl="0">
      <w:start w:val="6"/>
      <w:numFmt w:val="decimal"/>
      <w:lvlText w:val="%1"/>
      <w:lvlJc w:val="left"/>
      <w:pPr>
        <w:ind w:left="360" w:hanging="360"/>
      </w:pPr>
      <w:rPr>
        <w:rFonts w:hint="default"/>
      </w:rPr>
    </w:lvl>
    <w:lvl w:ilvl="1">
      <w:start w:val="5"/>
      <w:numFmt w:val="decimal"/>
      <w:lvlText w:val="%1.%2"/>
      <w:lvlJc w:val="left"/>
      <w:pPr>
        <w:ind w:left="559" w:hanging="360"/>
      </w:pPr>
      <w:rPr>
        <w:rFonts w:hint="default"/>
      </w:rPr>
    </w:lvl>
    <w:lvl w:ilvl="2">
      <w:start w:val="1"/>
      <w:numFmt w:val="decimal"/>
      <w:lvlText w:val="%1.%2.%3"/>
      <w:lvlJc w:val="left"/>
      <w:pPr>
        <w:ind w:left="1118" w:hanging="720"/>
      </w:pPr>
      <w:rPr>
        <w:rFonts w:hint="default"/>
      </w:rPr>
    </w:lvl>
    <w:lvl w:ilvl="3">
      <w:start w:val="1"/>
      <w:numFmt w:val="decimal"/>
      <w:lvlText w:val="%1.%2.%3.%4"/>
      <w:lvlJc w:val="left"/>
      <w:pPr>
        <w:ind w:left="1317" w:hanging="720"/>
      </w:pPr>
      <w:rPr>
        <w:rFonts w:hint="default"/>
      </w:rPr>
    </w:lvl>
    <w:lvl w:ilvl="4">
      <w:start w:val="1"/>
      <w:numFmt w:val="decimal"/>
      <w:lvlText w:val="%1.%2.%3.%4.%5"/>
      <w:lvlJc w:val="left"/>
      <w:pPr>
        <w:ind w:left="1876" w:hanging="1080"/>
      </w:pPr>
      <w:rPr>
        <w:rFonts w:hint="default"/>
      </w:rPr>
    </w:lvl>
    <w:lvl w:ilvl="5">
      <w:start w:val="1"/>
      <w:numFmt w:val="decimal"/>
      <w:lvlText w:val="%1.%2.%3.%4.%5.%6"/>
      <w:lvlJc w:val="left"/>
      <w:pPr>
        <w:ind w:left="2075" w:hanging="1080"/>
      </w:pPr>
      <w:rPr>
        <w:rFonts w:hint="default"/>
      </w:rPr>
    </w:lvl>
    <w:lvl w:ilvl="6">
      <w:start w:val="1"/>
      <w:numFmt w:val="decimal"/>
      <w:lvlText w:val="%1.%2.%3.%4.%5.%6.%7"/>
      <w:lvlJc w:val="left"/>
      <w:pPr>
        <w:ind w:left="2634" w:hanging="1440"/>
      </w:pPr>
      <w:rPr>
        <w:rFonts w:hint="default"/>
      </w:rPr>
    </w:lvl>
    <w:lvl w:ilvl="7">
      <w:start w:val="1"/>
      <w:numFmt w:val="decimal"/>
      <w:lvlText w:val="%1.%2.%3.%4.%5.%6.%7.%8"/>
      <w:lvlJc w:val="left"/>
      <w:pPr>
        <w:ind w:left="2833" w:hanging="1440"/>
      </w:pPr>
      <w:rPr>
        <w:rFonts w:hint="default"/>
      </w:rPr>
    </w:lvl>
    <w:lvl w:ilvl="8">
      <w:start w:val="1"/>
      <w:numFmt w:val="decimal"/>
      <w:lvlText w:val="%1.%2.%3.%4.%5.%6.%7.%8.%9"/>
      <w:lvlJc w:val="left"/>
      <w:pPr>
        <w:ind w:left="3392" w:hanging="1800"/>
      </w:pPr>
      <w:rPr>
        <w:rFonts w:hint="default"/>
      </w:rPr>
    </w:lvl>
  </w:abstractNum>
  <w:abstractNum w:abstractNumId="21" w15:restartNumberingAfterBreak="0">
    <w:nsid w:val="6C5716ED"/>
    <w:multiLevelType w:val="multilevel"/>
    <w:tmpl w:val="73A60924"/>
    <w:lvl w:ilvl="0">
      <w:start w:val="6"/>
      <w:numFmt w:val="decimal"/>
      <w:lvlText w:val="%1"/>
      <w:lvlJc w:val="left"/>
      <w:pPr>
        <w:ind w:left="360" w:hanging="360"/>
      </w:pPr>
      <w:rPr>
        <w:rFonts w:hint="default"/>
      </w:rPr>
    </w:lvl>
    <w:lvl w:ilvl="1">
      <w:start w:val="4"/>
      <w:numFmt w:val="decimal"/>
      <w:lvlText w:val="%1.%2"/>
      <w:lvlJc w:val="left"/>
      <w:pPr>
        <w:ind w:left="559" w:hanging="360"/>
      </w:pPr>
      <w:rPr>
        <w:rFonts w:hint="default"/>
      </w:rPr>
    </w:lvl>
    <w:lvl w:ilvl="2">
      <w:start w:val="1"/>
      <w:numFmt w:val="decimal"/>
      <w:lvlText w:val="%1.%2.%3"/>
      <w:lvlJc w:val="left"/>
      <w:pPr>
        <w:ind w:left="1118" w:hanging="720"/>
      </w:pPr>
      <w:rPr>
        <w:rFonts w:hint="default"/>
      </w:rPr>
    </w:lvl>
    <w:lvl w:ilvl="3">
      <w:start w:val="1"/>
      <w:numFmt w:val="decimal"/>
      <w:lvlText w:val="%1.%2.%3.%4"/>
      <w:lvlJc w:val="left"/>
      <w:pPr>
        <w:ind w:left="1317" w:hanging="720"/>
      </w:pPr>
      <w:rPr>
        <w:rFonts w:hint="default"/>
      </w:rPr>
    </w:lvl>
    <w:lvl w:ilvl="4">
      <w:start w:val="1"/>
      <w:numFmt w:val="decimal"/>
      <w:lvlText w:val="%1.%2.%3.%4.%5"/>
      <w:lvlJc w:val="left"/>
      <w:pPr>
        <w:ind w:left="1876" w:hanging="1080"/>
      </w:pPr>
      <w:rPr>
        <w:rFonts w:hint="default"/>
      </w:rPr>
    </w:lvl>
    <w:lvl w:ilvl="5">
      <w:start w:val="1"/>
      <w:numFmt w:val="decimal"/>
      <w:lvlText w:val="%1.%2.%3.%4.%5.%6"/>
      <w:lvlJc w:val="left"/>
      <w:pPr>
        <w:ind w:left="2075" w:hanging="1080"/>
      </w:pPr>
      <w:rPr>
        <w:rFonts w:hint="default"/>
      </w:rPr>
    </w:lvl>
    <w:lvl w:ilvl="6">
      <w:start w:val="1"/>
      <w:numFmt w:val="decimal"/>
      <w:lvlText w:val="%1.%2.%3.%4.%5.%6.%7"/>
      <w:lvlJc w:val="left"/>
      <w:pPr>
        <w:ind w:left="2634" w:hanging="1440"/>
      </w:pPr>
      <w:rPr>
        <w:rFonts w:hint="default"/>
      </w:rPr>
    </w:lvl>
    <w:lvl w:ilvl="7">
      <w:start w:val="1"/>
      <w:numFmt w:val="decimal"/>
      <w:lvlText w:val="%1.%2.%3.%4.%5.%6.%7.%8"/>
      <w:lvlJc w:val="left"/>
      <w:pPr>
        <w:ind w:left="2833" w:hanging="1440"/>
      </w:pPr>
      <w:rPr>
        <w:rFonts w:hint="default"/>
      </w:rPr>
    </w:lvl>
    <w:lvl w:ilvl="8">
      <w:start w:val="1"/>
      <w:numFmt w:val="decimal"/>
      <w:lvlText w:val="%1.%2.%3.%4.%5.%6.%7.%8.%9"/>
      <w:lvlJc w:val="left"/>
      <w:pPr>
        <w:ind w:left="3392" w:hanging="1800"/>
      </w:pPr>
      <w:rPr>
        <w:rFonts w:hint="default"/>
      </w:rPr>
    </w:lvl>
  </w:abstractNum>
  <w:abstractNum w:abstractNumId="22" w15:restartNumberingAfterBreak="0">
    <w:nsid w:val="6F1A7A02"/>
    <w:multiLevelType w:val="multilevel"/>
    <w:tmpl w:val="0809001F"/>
    <w:lvl w:ilvl="0">
      <w:start w:val="1"/>
      <w:numFmt w:val="decimal"/>
      <w:lvlText w:val="%1."/>
      <w:lvlJc w:val="left"/>
      <w:pPr>
        <w:ind w:left="559" w:hanging="360"/>
      </w:pPr>
    </w:lvl>
    <w:lvl w:ilvl="1">
      <w:start w:val="1"/>
      <w:numFmt w:val="decimal"/>
      <w:lvlText w:val="%1.%2."/>
      <w:lvlJc w:val="left"/>
      <w:pPr>
        <w:ind w:left="1908" w:hanging="432"/>
      </w:pPr>
    </w:lvl>
    <w:lvl w:ilvl="2">
      <w:start w:val="1"/>
      <w:numFmt w:val="decimal"/>
      <w:lvlText w:val="%1.%2.%3."/>
      <w:lvlJc w:val="left"/>
      <w:pPr>
        <w:ind w:left="1423" w:hanging="504"/>
      </w:pPr>
    </w:lvl>
    <w:lvl w:ilvl="3">
      <w:start w:val="1"/>
      <w:numFmt w:val="decimal"/>
      <w:lvlText w:val="%1.%2.%3.%4."/>
      <w:lvlJc w:val="left"/>
      <w:pPr>
        <w:ind w:left="1927" w:hanging="648"/>
      </w:pPr>
    </w:lvl>
    <w:lvl w:ilvl="4">
      <w:start w:val="1"/>
      <w:numFmt w:val="decimal"/>
      <w:lvlText w:val="%1.%2.%3.%4.%5."/>
      <w:lvlJc w:val="left"/>
      <w:pPr>
        <w:ind w:left="2431" w:hanging="792"/>
      </w:pPr>
    </w:lvl>
    <w:lvl w:ilvl="5">
      <w:start w:val="1"/>
      <w:numFmt w:val="decimal"/>
      <w:lvlText w:val="%1.%2.%3.%4.%5.%6."/>
      <w:lvlJc w:val="left"/>
      <w:pPr>
        <w:ind w:left="2935" w:hanging="936"/>
      </w:pPr>
    </w:lvl>
    <w:lvl w:ilvl="6">
      <w:start w:val="1"/>
      <w:numFmt w:val="decimal"/>
      <w:lvlText w:val="%1.%2.%3.%4.%5.%6.%7."/>
      <w:lvlJc w:val="left"/>
      <w:pPr>
        <w:ind w:left="3439" w:hanging="1080"/>
      </w:pPr>
    </w:lvl>
    <w:lvl w:ilvl="7">
      <w:start w:val="1"/>
      <w:numFmt w:val="decimal"/>
      <w:lvlText w:val="%1.%2.%3.%4.%5.%6.%7.%8."/>
      <w:lvlJc w:val="left"/>
      <w:pPr>
        <w:ind w:left="3943" w:hanging="1224"/>
      </w:pPr>
    </w:lvl>
    <w:lvl w:ilvl="8">
      <w:start w:val="1"/>
      <w:numFmt w:val="decimal"/>
      <w:lvlText w:val="%1.%2.%3.%4.%5.%6.%7.%8.%9."/>
      <w:lvlJc w:val="left"/>
      <w:pPr>
        <w:ind w:left="4519" w:hanging="1440"/>
      </w:pPr>
    </w:lvl>
  </w:abstractNum>
  <w:abstractNum w:abstractNumId="23" w15:restartNumberingAfterBreak="0">
    <w:nsid w:val="745A5F70"/>
    <w:multiLevelType w:val="multilevel"/>
    <w:tmpl w:val="0809001F"/>
    <w:lvl w:ilvl="0">
      <w:start w:val="1"/>
      <w:numFmt w:val="decimal"/>
      <w:lvlText w:val="%1."/>
      <w:lvlJc w:val="left"/>
      <w:pPr>
        <w:ind w:left="360" w:hanging="360"/>
      </w:pPr>
      <w:rPr>
        <w:rFonts w:hint="default"/>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val="0"/>
        <w:i w:val="0"/>
        <w:iCs w:val="0"/>
        <w:spacing w:val="0"/>
        <w:w w:val="100"/>
        <w:sz w:val="22"/>
        <w:szCs w:val="22"/>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4" w15:restartNumberingAfterBreak="0">
    <w:nsid w:val="75A64469"/>
    <w:multiLevelType w:val="multilevel"/>
    <w:tmpl w:val="44749EE6"/>
    <w:lvl w:ilvl="0">
      <w:start w:val="3"/>
      <w:numFmt w:val="decimal"/>
      <w:lvlText w:val="%1."/>
      <w:lvlJc w:val="left"/>
      <w:pPr>
        <w:ind w:left="559" w:hanging="360"/>
      </w:pPr>
      <w:rPr>
        <w:rFonts w:hint="default"/>
      </w:rPr>
    </w:lvl>
    <w:lvl w:ilvl="1">
      <w:start w:val="1"/>
      <w:numFmt w:val="decimal"/>
      <w:isLgl/>
      <w:lvlText w:val="%1.%2"/>
      <w:lvlJc w:val="left"/>
      <w:pPr>
        <w:ind w:left="559"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919" w:hanging="720"/>
      </w:pPr>
      <w:rPr>
        <w:rFonts w:hint="default"/>
      </w:rPr>
    </w:lvl>
    <w:lvl w:ilvl="4">
      <w:start w:val="1"/>
      <w:numFmt w:val="decimal"/>
      <w:isLgl/>
      <w:lvlText w:val="%1.%2.%3.%4.%5"/>
      <w:lvlJc w:val="left"/>
      <w:pPr>
        <w:ind w:left="1279" w:hanging="1080"/>
      </w:pPr>
      <w:rPr>
        <w:rFonts w:hint="default"/>
      </w:rPr>
    </w:lvl>
    <w:lvl w:ilvl="5">
      <w:start w:val="1"/>
      <w:numFmt w:val="decimal"/>
      <w:isLgl/>
      <w:lvlText w:val="%1.%2.%3.%4.%5.%6"/>
      <w:lvlJc w:val="left"/>
      <w:pPr>
        <w:ind w:left="1279" w:hanging="1080"/>
      </w:pPr>
      <w:rPr>
        <w:rFonts w:hint="default"/>
      </w:rPr>
    </w:lvl>
    <w:lvl w:ilvl="6">
      <w:start w:val="1"/>
      <w:numFmt w:val="decimal"/>
      <w:isLgl/>
      <w:lvlText w:val="%1.%2.%3.%4.%5.%6.%7"/>
      <w:lvlJc w:val="left"/>
      <w:pPr>
        <w:ind w:left="1639" w:hanging="1440"/>
      </w:pPr>
      <w:rPr>
        <w:rFonts w:hint="default"/>
      </w:rPr>
    </w:lvl>
    <w:lvl w:ilvl="7">
      <w:start w:val="1"/>
      <w:numFmt w:val="decimal"/>
      <w:isLgl/>
      <w:lvlText w:val="%1.%2.%3.%4.%5.%6.%7.%8"/>
      <w:lvlJc w:val="left"/>
      <w:pPr>
        <w:ind w:left="1639" w:hanging="1440"/>
      </w:pPr>
      <w:rPr>
        <w:rFonts w:hint="default"/>
      </w:rPr>
    </w:lvl>
    <w:lvl w:ilvl="8">
      <w:start w:val="1"/>
      <w:numFmt w:val="decimal"/>
      <w:isLgl/>
      <w:lvlText w:val="%1.%2.%3.%4.%5.%6.%7.%8.%9"/>
      <w:lvlJc w:val="left"/>
      <w:pPr>
        <w:ind w:left="1999" w:hanging="1800"/>
      </w:pPr>
      <w:rPr>
        <w:rFonts w:hint="default"/>
      </w:rPr>
    </w:lvl>
  </w:abstractNum>
  <w:abstractNum w:abstractNumId="25" w15:restartNumberingAfterBreak="0">
    <w:nsid w:val="7B6B1BA3"/>
    <w:multiLevelType w:val="multilevel"/>
    <w:tmpl w:val="F9EA1D1E"/>
    <w:lvl w:ilvl="0">
      <w:start w:val="2"/>
      <w:numFmt w:val="decimal"/>
      <w:lvlText w:val="%1"/>
      <w:lvlJc w:val="left"/>
      <w:pPr>
        <w:ind w:left="566" w:hanging="368"/>
      </w:pPr>
      <w:rPr>
        <w:rFonts w:hint="default"/>
        <w:lang w:val="en-US" w:eastAsia="en-US" w:bidi="ar-SA"/>
      </w:rPr>
    </w:lvl>
    <w:lvl w:ilvl="1">
      <w:start w:val="2"/>
      <w:numFmt w:val="decimal"/>
      <w:lvlText w:val="%1.%2"/>
      <w:lvlJc w:val="left"/>
      <w:pPr>
        <w:ind w:left="566" w:hanging="368"/>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467" w:hanging="368"/>
      </w:pPr>
      <w:rPr>
        <w:rFonts w:hint="default"/>
        <w:lang w:val="en-US" w:eastAsia="en-US" w:bidi="ar-SA"/>
      </w:rPr>
    </w:lvl>
    <w:lvl w:ilvl="3">
      <w:numFmt w:val="bullet"/>
      <w:lvlText w:val="•"/>
      <w:lvlJc w:val="left"/>
      <w:pPr>
        <w:ind w:left="3421" w:hanging="368"/>
      </w:pPr>
      <w:rPr>
        <w:rFonts w:hint="default"/>
        <w:lang w:val="en-US" w:eastAsia="en-US" w:bidi="ar-SA"/>
      </w:rPr>
    </w:lvl>
    <w:lvl w:ilvl="4">
      <w:numFmt w:val="bullet"/>
      <w:lvlText w:val="•"/>
      <w:lvlJc w:val="left"/>
      <w:pPr>
        <w:ind w:left="4375" w:hanging="368"/>
      </w:pPr>
      <w:rPr>
        <w:rFonts w:hint="default"/>
        <w:lang w:val="en-US" w:eastAsia="en-US" w:bidi="ar-SA"/>
      </w:rPr>
    </w:lvl>
    <w:lvl w:ilvl="5">
      <w:numFmt w:val="bullet"/>
      <w:lvlText w:val="•"/>
      <w:lvlJc w:val="left"/>
      <w:pPr>
        <w:ind w:left="5329" w:hanging="368"/>
      </w:pPr>
      <w:rPr>
        <w:rFonts w:hint="default"/>
        <w:lang w:val="en-US" w:eastAsia="en-US" w:bidi="ar-SA"/>
      </w:rPr>
    </w:lvl>
    <w:lvl w:ilvl="6">
      <w:numFmt w:val="bullet"/>
      <w:lvlText w:val="•"/>
      <w:lvlJc w:val="left"/>
      <w:pPr>
        <w:ind w:left="6283" w:hanging="368"/>
      </w:pPr>
      <w:rPr>
        <w:rFonts w:hint="default"/>
        <w:lang w:val="en-US" w:eastAsia="en-US" w:bidi="ar-SA"/>
      </w:rPr>
    </w:lvl>
    <w:lvl w:ilvl="7">
      <w:numFmt w:val="bullet"/>
      <w:lvlText w:val="•"/>
      <w:lvlJc w:val="left"/>
      <w:pPr>
        <w:ind w:left="7237" w:hanging="368"/>
      </w:pPr>
      <w:rPr>
        <w:rFonts w:hint="default"/>
        <w:lang w:val="en-US" w:eastAsia="en-US" w:bidi="ar-SA"/>
      </w:rPr>
    </w:lvl>
    <w:lvl w:ilvl="8">
      <w:numFmt w:val="bullet"/>
      <w:lvlText w:val="•"/>
      <w:lvlJc w:val="left"/>
      <w:pPr>
        <w:ind w:left="8191" w:hanging="368"/>
      </w:pPr>
      <w:rPr>
        <w:rFonts w:hint="default"/>
        <w:lang w:val="en-US" w:eastAsia="en-US" w:bidi="ar-SA"/>
      </w:rPr>
    </w:lvl>
  </w:abstractNum>
  <w:abstractNum w:abstractNumId="26" w15:restartNumberingAfterBreak="0">
    <w:nsid w:val="7B7462BB"/>
    <w:multiLevelType w:val="hybridMultilevel"/>
    <w:tmpl w:val="FC10916A"/>
    <w:lvl w:ilvl="0" w:tplc="25F69620">
      <w:numFmt w:val="bullet"/>
      <w:lvlText w:val=""/>
      <w:lvlJc w:val="left"/>
      <w:pPr>
        <w:ind w:left="766" w:hanging="360"/>
      </w:pPr>
      <w:rPr>
        <w:rFonts w:ascii="Symbol" w:eastAsia="Symbol" w:hAnsi="Symbol" w:cs="Symbol" w:hint="default"/>
        <w:b w:val="0"/>
        <w:bCs w:val="0"/>
        <w:i w:val="0"/>
        <w:iCs w:val="0"/>
        <w:spacing w:val="0"/>
        <w:w w:val="100"/>
        <w:sz w:val="22"/>
        <w:szCs w:val="22"/>
        <w:lang w:val="en-US" w:eastAsia="en-US" w:bidi="ar-SA"/>
      </w:rPr>
    </w:lvl>
    <w:lvl w:ilvl="1" w:tplc="CD9EBB54">
      <w:numFmt w:val="bullet"/>
      <w:lvlText w:val="•"/>
      <w:lvlJc w:val="left"/>
      <w:pPr>
        <w:ind w:left="1693" w:hanging="360"/>
      </w:pPr>
      <w:rPr>
        <w:rFonts w:hint="default"/>
        <w:lang w:val="en-US" w:eastAsia="en-US" w:bidi="ar-SA"/>
      </w:rPr>
    </w:lvl>
    <w:lvl w:ilvl="2" w:tplc="33023D4C">
      <w:numFmt w:val="bullet"/>
      <w:lvlText w:val="•"/>
      <w:lvlJc w:val="left"/>
      <w:pPr>
        <w:ind w:left="2627" w:hanging="360"/>
      </w:pPr>
      <w:rPr>
        <w:rFonts w:hint="default"/>
        <w:lang w:val="en-US" w:eastAsia="en-US" w:bidi="ar-SA"/>
      </w:rPr>
    </w:lvl>
    <w:lvl w:ilvl="3" w:tplc="FFAAA04C">
      <w:numFmt w:val="bullet"/>
      <w:lvlText w:val="•"/>
      <w:lvlJc w:val="left"/>
      <w:pPr>
        <w:ind w:left="3561" w:hanging="360"/>
      </w:pPr>
      <w:rPr>
        <w:rFonts w:hint="default"/>
        <w:lang w:val="en-US" w:eastAsia="en-US" w:bidi="ar-SA"/>
      </w:rPr>
    </w:lvl>
    <w:lvl w:ilvl="4" w:tplc="2586E1E6">
      <w:numFmt w:val="bullet"/>
      <w:lvlText w:val="•"/>
      <w:lvlJc w:val="left"/>
      <w:pPr>
        <w:ind w:left="4495" w:hanging="360"/>
      </w:pPr>
      <w:rPr>
        <w:rFonts w:hint="default"/>
        <w:lang w:val="en-US" w:eastAsia="en-US" w:bidi="ar-SA"/>
      </w:rPr>
    </w:lvl>
    <w:lvl w:ilvl="5" w:tplc="DF42688A">
      <w:numFmt w:val="bullet"/>
      <w:lvlText w:val="•"/>
      <w:lvlJc w:val="left"/>
      <w:pPr>
        <w:ind w:left="5429" w:hanging="360"/>
      </w:pPr>
      <w:rPr>
        <w:rFonts w:hint="default"/>
        <w:lang w:val="en-US" w:eastAsia="en-US" w:bidi="ar-SA"/>
      </w:rPr>
    </w:lvl>
    <w:lvl w:ilvl="6" w:tplc="E0D04B1A">
      <w:numFmt w:val="bullet"/>
      <w:lvlText w:val="•"/>
      <w:lvlJc w:val="left"/>
      <w:pPr>
        <w:ind w:left="6363" w:hanging="360"/>
      </w:pPr>
      <w:rPr>
        <w:rFonts w:hint="default"/>
        <w:lang w:val="en-US" w:eastAsia="en-US" w:bidi="ar-SA"/>
      </w:rPr>
    </w:lvl>
    <w:lvl w:ilvl="7" w:tplc="99A613A4">
      <w:numFmt w:val="bullet"/>
      <w:lvlText w:val="•"/>
      <w:lvlJc w:val="left"/>
      <w:pPr>
        <w:ind w:left="7297" w:hanging="360"/>
      </w:pPr>
      <w:rPr>
        <w:rFonts w:hint="default"/>
        <w:lang w:val="en-US" w:eastAsia="en-US" w:bidi="ar-SA"/>
      </w:rPr>
    </w:lvl>
    <w:lvl w:ilvl="8" w:tplc="CFA8FABC">
      <w:numFmt w:val="bullet"/>
      <w:lvlText w:val="•"/>
      <w:lvlJc w:val="left"/>
      <w:pPr>
        <w:ind w:left="8231" w:hanging="360"/>
      </w:pPr>
      <w:rPr>
        <w:rFonts w:hint="default"/>
        <w:lang w:val="en-US" w:eastAsia="en-US" w:bidi="ar-SA"/>
      </w:rPr>
    </w:lvl>
  </w:abstractNum>
  <w:abstractNum w:abstractNumId="27" w15:restartNumberingAfterBreak="0">
    <w:nsid w:val="7C883761"/>
    <w:multiLevelType w:val="hybridMultilevel"/>
    <w:tmpl w:val="A20ADA24"/>
    <w:lvl w:ilvl="0" w:tplc="0809000F">
      <w:start w:val="1"/>
      <w:numFmt w:val="decimal"/>
      <w:lvlText w:val="%1."/>
      <w:lvlJc w:val="left"/>
      <w:pPr>
        <w:ind w:left="919" w:hanging="360"/>
      </w:p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num w:numId="1" w16cid:durableId="412625651">
    <w:abstractNumId w:val="16"/>
  </w:num>
  <w:num w:numId="2" w16cid:durableId="319773227">
    <w:abstractNumId w:val="13"/>
  </w:num>
  <w:num w:numId="3" w16cid:durableId="45614307">
    <w:abstractNumId w:val="2"/>
  </w:num>
  <w:num w:numId="4" w16cid:durableId="1456606661">
    <w:abstractNumId w:val="9"/>
  </w:num>
  <w:num w:numId="5" w16cid:durableId="152379680">
    <w:abstractNumId w:val="26"/>
  </w:num>
  <w:num w:numId="6" w16cid:durableId="192231149">
    <w:abstractNumId w:val="25"/>
  </w:num>
  <w:num w:numId="7" w16cid:durableId="1950578209">
    <w:abstractNumId w:val="10"/>
  </w:num>
  <w:num w:numId="8" w16cid:durableId="1659768620">
    <w:abstractNumId w:val="18"/>
  </w:num>
  <w:num w:numId="9" w16cid:durableId="1646469332">
    <w:abstractNumId w:val="23"/>
  </w:num>
  <w:num w:numId="10" w16cid:durableId="1138298947">
    <w:abstractNumId w:val="17"/>
  </w:num>
  <w:num w:numId="11" w16cid:durableId="356932594">
    <w:abstractNumId w:val="8"/>
  </w:num>
  <w:num w:numId="12" w16cid:durableId="727916966">
    <w:abstractNumId w:val="4"/>
  </w:num>
  <w:num w:numId="13" w16cid:durableId="395589356">
    <w:abstractNumId w:val="14"/>
  </w:num>
  <w:num w:numId="14" w16cid:durableId="473566649">
    <w:abstractNumId w:val="15"/>
  </w:num>
  <w:num w:numId="15" w16cid:durableId="965311489">
    <w:abstractNumId w:val="27"/>
  </w:num>
  <w:num w:numId="16" w16cid:durableId="307325014">
    <w:abstractNumId w:val="3"/>
  </w:num>
  <w:num w:numId="17" w16cid:durableId="1828549525">
    <w:abstractNumId w:val="22"/>
  </w:num>
  <w:num w:numId="18" w16cid:durableId="39526064">
    <w:abstractNumId w:val="24"/>
  </w:num>
  <w:num w:numId="19" w16cid:durableId="652027119">
    <w:abstractNumId w:val="11"/>
  </w:num>
  <w:num w:numId="20" w16cid:durableId="784159029">
    <w:abstractNumId w:val="7"/>
  </w:num>
  <w:num w:numId="21" w16cid:durableId="577638487">
    <w:abstractNumId w:val="5"/>
  </w:num>
  <w:num w:numId="22" w16cid:durableId="1939173598">
    <w:abstractNumId w:val="5"/>
  </w:num>
  <w:num w:numId="23" w16cid:durableId="1943217425">
    <w:abstractNumId w:val="21"/>
  </w:num>
  <w:num w:numId="24" w16cid:durableId="1974674676">
    <w:abstractNumId w:val="20"/>
  </w:num>
  <w:num w:numId="25" w16cid:durableId="1777406392">
    <w:abstractNumId w:val="19"/>
  </w:num>
  <w:num w:numId="26" w16cid:durableId="815994507">
    <w:abstractNumId w:val="6"/>
  </w:num>
  <w:num w:numId="27" w16cid:durableId="1536961638">
    <w:abstractNumId w:val="0"/>
  </w:num>
  <w:num w:numId="28" w16cid:durableId="524250552">
    <w:abstractNumId w:val="1"/>
  </w:num>
  <w:num w:numId="29" w16cid:durableId="971137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75"/>
    <w:rsid w:val="000040AD"/>
    <w:rsid w:val="00014DA6"/>
    <w:rsid w:val="00055D4C"/>
    <w:rsid w:val="00062648"/>
    <w:rsid w:val="00064E20"/>
    <w:rsid w:val="0007065D"/>
    <w:rsid w:val="00073194"/>
    <w:rsid w:val="00077932"/>
    <w:rsid w:val="00082998"/>
    <w:rsid w:val="00083655"/>
    <w:rsid w:val="0008427C"/>
    <w:rsid w:val="00086EE9"/>
    <w:rsid w:val="000874C0"/>
    <w:rsid w:val="000943E7"/>
    <w:rsid w:val="00094E7D"/>
    <w:rsid w:val="000A0D9C"/>
    <w:rsid w:val="000A0F0C"/>
    <w:rsid w:val="000A4B21"/>
    <w:rsid w:val="000A56B0"/>
    <w:rsid w:val="000A5ED5"/>
    <w:rsid w:val="000C4427"/>
    <w:rsid w:val="000C4BFA"/>
    <w:rsid w:val="000C5CC7"/>
    <w:rsid w:val="000C5F6C"/>
    <w:rsid w:val="000C7FC7"/>
    <w:rsid w:val="000D588E"/>
    <w:rsid w:val="000E646A"/>
    <w:rsid w:val="000F09DC"/>
    <w:rsid w:val="000F1267"/>
    <w:rsid w:val="000F2719"/>
    <w:rsid w:val="000F2D9C"/>
    <w:rsid w:val="001044C3"/>
    <w:rsid w:val="00107820"/>
    <w:rsid w:val="00110A31"/>
    <w:rsid w:val="00113918"/>
    <w:rsid w:val="00122784"/>
    <w:rsid w:val="00122F56"/>
    <w:rsid w:val="00123230"/>
    <w:rsid w:val="001261D6"/>
    <w:rsid w:val="00131ECB"/>
    <w:rsid w:val="00141C28"/>
    <w:rsid w:val="00152841"/>
    <w:rsid w:val="0016172A"/>
    <w:rsid w:val="001718FC"/>
    <w:rsid w:val="00171997"/>
    <w:rsid w:val="00174A52"/>
    <w:rsid w:val="00175933"/>
    <w:rsid w:val="00184EB5"/>
    <w:rsid w:val="00186AAF"/>
    <w:rsid w:val="00190CEA"/>
    <w:rsid w:val="0019200A"/>
    <w:rsid w:val="00192FEF"/>
    <w:rsid w:val="00194703"/>
    <w:rsid w:val="001A0FDA"/>
    <w:rsid w:val="001A633E"/>
    <w:rsid w:val="001B42E0"/>
    <w:rsid w:val="001B7016"/>
    <w:rsid w:val="001B77EA"/>
    <w:rsid w:val="001C13C3"/>
    <w:rsid w:val="001C53C9"/>
    <w:rsid w:val="001C76B0"/>
    <w:rsid w:val="001E0A20"/>
    <w:rsid w:val="001E61E5"/>
    <w:rsid w:val="001F0F86"/>
    <w:rsid w:val="001F49FF"/>
    <w:rsid w:val="001F7688"/>
    <w:rsid w:val="001F78CA"/>
    <w:rsid w:val="0020080E"/>
    <w:rsid w:val="00202881"/>
    <w:rsid w:val="00214AA9"/>
    <w:rsid w:val="0021504D"/>
    <w:rsid w:val="00217B6E"/>
    <w:rsid w:val="0022525D"/>
    <w:rsid w:val="00231278"/>
    <w:rsid w:val="002417C4"/>
    <w:rsid w:val="00243CA3"/>
    <w:rsid w:val="002476C7"/>
    <w:rsid w:val="0025176B"/>
    <w:rsid w:val="00253618"/>
    <w:rsid w:val="00253693"/>
    <w:rsid w:val="002563EA"/>
    <w:rsid w:val="00257672"/>
    <w:rsid w:val="002613FD"/>
    <w:rsid w:val="002714BE"/>
    <w:rsid w:val="0029158D"/>
    <w:rsid w:val="0029387E"/>
    <w:rsid w:val="00297838"/>
    <w:rsid w:val="002A46BB"/>
    <w:rsid w:val="002A51F3"/>
    <w:rsid w:val="002A5D43"/>
    <w:rsid w:val="002A7B53"/>
    <w:rsid w:val="002B2BA3"/>
    <w:rsid w:val="002B667E"/>
    <w:rsid w:val="002C4E49"/>
    <w:rsid w:val="002C5151"/>
    <w:rsid w:val="002C69FB"/>
    <w:rsid w:val="002C7AE1"/>
    <w:rsid w:val="002D0CA3"/>
    <w:rsid w:val="002D7087"/>
    <w:rsid w:val="002E0F1C"/>
    <w:rsid w:val="002E39E2"/>
    <w:rsid w:val="002F70BA"/>
    <w:rsid w:val="0030127D"/>
    <w:rsid w:val="0032016A"/>
    <w:rsid w:val="003234E1"/>
    <w:rsid w:val="00334CD9"/>
    <w:rsid w:val="003404B5"/>
    <w:rsid w:val="00344243"/>
    <w:rsid w:val="00347FE3"/>
    <w:rsid w:val="00352BBB"/>
    <w:rsid w:val="00356B28"/>
    <w:rsid w:val="003577F0"/>
    <w:rsid w:val="00361AD2"/>
    <w:rsid w:val="00361FE3"/>
    <w:rsid w:val="0036296D"/>
    <w:rsid w:val="003634A7"/>
    <w:rsid w:val="00365C17"/>
    <w:rsid w:val="003667C6"/>
    <w:rsid w:val="00371283"/>
    <w:rsid w:val="00372A58"/>
    <w:rsid w:val="0037324A"/>
    <w:rsid w:val="0038553B"/>
    <w:rsid w:val="00386EA1"/>
    <w:rsid w:val="0038764C"/>
    <w:rsid w:val="00391CD2"/>
    <w:rsid w:val="00392697"/>
    <w:rsid w:val="003A2E76"/>
    <w:rsid w:val="003A41E8"/>
    <w:rsid w:val="003B0E30"/>
    <w:rsid w:val="003B29DD"/>
    <w:rsid w:val="003B565A"/>
    <w:rsid w:val="003C3033"/>
    <w:rsid w:val="003C6572"/>
    <w:rsid w:val="003C6807"/>
    <w:rsid w:val="003D2367"/>
    <w:rsid w:val="003D4D3C"/>
    <w:rsid w:val="003D5529"/>
    <w:rsid w:val="003D6F44"/>
    <w:rsid w:val="003E043C"/>
    <w:rsid w:val="003E5016"/>
    <w:rsid w:val="003F013D"/>
    <w:rsid w:val="003F1417"/>
    <w:rsid w:val="003F1A14"/>
    <w:rsid w:val="003F1F00"/>
    <w:rsid w:val="003F7205"/>
    <w:rsid w:val="0040583F"/>
    <w:rsid w:val="00407510"/>
    <w:rsid w:val="004132E1"/>
    <w:rsid w:val="00423396"/>
    <w:rsid w:val="00427897"/>
    <w:rsid w:val="00427EC9"/>
    <w:rsid w:val="0043345F"/>
    <w:rsid w:val="00450140"/>
    <w:rsid w:val="00452E65"/>
    <w:rsid w:val="00454C93"/>
    <w:rsid w:val="00462A2E"/>
    <w:rsid w:val="004649FF"/>
    <w:rsid w:val="00476F36"/>
    <w:rsid w:val="00477F18"/>
    <w:rsid w:val="00482948"/>
    <w:rsid w:val="00487CFC"/>
    <w:rsid w:val="00490311"/>
    <w:rsid w:val="0049162C"/>
    <w:rsid w:val="004963BD"/>
    <w:rsid w:val="004B2432"/>
    <w:rsid w:val="004D4130"/>
    <w:rsid w:val="004E0C73"/>
    <w:rsid w:val="004E11CA"/>
    <w:rsid w:val="004E156E"/>
    <w:rsid w:val="004E274F"/>
    <w:rsid w:val="004E3401"/>
    <w:rsid w:val="004E662D"/>
    <w:rsid w:val="004F4495"/>
    <w:rsid w:val="00501D49"/>
    <w:rsid w:val="0050257B"/>
    <w:rsid w:val="0050497D"/>
    <w:rsid w:val="00504A10"/>
    <w:rsid w:val="00505604"/>
    <w:rsid w:val="00512581"/>
    <w:rsid w:val="00513DE4"/>
    <w:rsid w:val="005171B8"/>
    <w:rsid w:val="005209E7"/>
    <w:rsid w:val="00526B57"/>
    <w:rsid w:val="005275EA"/>
    <w:rsid w:val="00535092"/>
    <w:rsid w:val="00537794"/>
    <w:rsid w:val="00543FD6"/>
    <w:rsid w:val="00545B77"/>
    <w:rsid w:val="005529C0"/>
    <w:rsid w:val="00584E84"/>
    <w:rsid w:val="00586C6B"/>
    <w:rsid w:val="00597C7D"/>
    <w:rsid w:val="005A5671"/>
    <w:rsid w:val="005A7F68"/>
    <w:rsid w:val="005B2AC7"/>
    <w:rsid w:val="005B372F"/>
    <w:rsid w:val="005C2B02"/>
    <w:rsid w:val="005C653B"/>
    <w:rsid w:val="005D0C98"/>
    <w:rsid w:val="005E6B27"/>
    <w:rsid w:val="005F1420"/>
    <w:rsid w:val="005F1883"/>
    <w:rsid w:val="005F266A"/>
    <w:rsid w:val="005F2726"/>
    <w:rsid w:val="005F5796"/>
    <w:rsid w:val="00600F0A"/>
    <w:rsid w:val="00603F19"/>
    <w:rsid w:val="006075A0"/>
    <w:rsid w:val="006120E9"/>
    <w:rsid w:val="0061338D"/>
    <w:rsid w:val="00617C77"/>
    <w:rsid w:val="0062178B"/>
    <w:rsid w:val="00623A07"/>
    <w:rsid w:val="00623A2F"/>
    <w:rsid w:val="00635424"/>
    <w:rsid w:val="00645301"/>
    <w:rsid w:val="00652737"/>
    <w:rsid w:val="0065342C"/>
    <w:rsid w:val="00655B5A"/>
    <w:rsid w:val="0065623C"/>
    <w:rsid w:val="00656632"/>
    <w:rsid w:val="00657826"/>
    <w:rsid w:val="00664F1C"/>
    <w:rsid w:val="00667447"/>
    <w:rsid w:val="00667C8D"/>
    <w:rsid w:val="006702F0"/>
    <w:rsid w:val="006760B9"/>
    <w:rsid w:val="006837A8"/>
    <w:rsid w:val="006970C8"/>
    <w:rsid w:val="006A19DB"/>
    <w:rsid w:val="006A452B"/>
    <w:rsid w:val="006A55F2"/>
    <w:rsid w:val="006B264E"/>
    <w:rsid w:val="006C34FD"/>
    <w:rsid w:val="006C375A"/>
    <w:rsid w:val="006C5A91"/>
    <w:rsid w:val="006D0DC0"/>
    <w:rsid w:val="006D385F"/>
    <w:rsid w:val="006D3C0A"/>
    <w:rsid w:val="006E1396"/>
    <w:rsid w:val="006E7982"/>
    <w:rsid w:val="006F1380"/>
    <w:rsid w:val="006F567E"/>
    <w:rsid w:val="006F6F57"/>
    <w:rsid w:val="0070418E"/>
    <w:rsid w:val="00711217"/>
    <w:rsid w:val="0071501B"/>
    <w:rsid w:val="00721160"/>
    <w:rsid w:val="0073025D"/>
    <w:rsid w:val="00736095"/>
    <w:rsid w:val="007455E3"/>
    <w:rsid w:val="00745739"/>
    <w:rsid w:val="007500FC"/>
    <w:rsid w:val="00752539"/>
    <w:rsid w:val="00755FE7"/>
    <w:rsid w:val="007561C4"/>
    <w:rsid w:val="00756F16"/>
    <w:rsid w:val="007663B0"/>
    <w:rsid w:val="007676CF"/>
    <w:rsid w:val="00767DD4"/>
    <w:rsid w:val="00770C62"/>
    <w:rsid w:val="00772FC5"/>
    <w:rsid w:val="0078426D"/>
    <w:rsid w:val="00792E30"/>
    <w:rsid w:val="007A3631"/>
    <w:rsid w:val="007A3D6B"/>
    <w:rsid w:val="007A53B0"/>
    <w:rsid w:val="007A7D4C"/>
    <w:rsid w:val="007B2B0D"/>
    <w:rsid w:val="007B49A6"/>
    <w:rsid w:val="007B4EC7"/>
    <w:rsid w:val="007B543C"/>
    <w:rsid w:val="007B6B46"/>
    <w:rsid w:val="007B76A5"/>
    <w:rsid w:val="007B78ED"/>
    <w:rsid w:val="007C1B0F"/>
    <w:rsid w:val="007C7EB1"/>
    <w:rsid w:val="007D1A7E"/>
    <w:rsid w:val="007D41ED"/>
    <w:rsid w:val="007D4730"/>
    <w:rsid w:val="007D4B20"/>
    <w:rsid w:val="007E375A"/>
    <w:rsid w:val="007E5271"/>
    <w:rsid w:val="007E7B07"/>
    <w:rsid w:val="00801CCD"/>
    <w:rsid w:val="00806778"/>
    <w:rsid w:val="00807B66"/>
    <w:rsid w:val="00813ED4"/>
    <w:rsid w:val="0082324E"/>
    <w:rsid w:val="00823D05"/>
    <w:rsid w:val="00826117"/>
    <w:rsid w:val="008272B7"/>
    <w:rsid w:val="0084110B"/>
    <w:rsid w:val="00842192"/>
    <w:rsid w:val="00847B0A"/>
    <w:rsid w:val="008527AC"/>
    <w:rsid w:val="00854190"/>
    <w:rsid w:val="00854B1C"/>
    <w:rsid w:val="008645DE"/>
    <w:rsid w:val="008708B7"/>
    <w:rsid w:val="008712AE"/>
    <w:rsid w:val="00874B50"/>
    <w:rsid w:val="00875BD3"/>
    <w:rsid w:val="00875DFE"/>
    <w:rsid w:val="00881521"/>
    <w:rsid w:val="0088390D"/>
    <w:rsid w:val="0088412C"/>
    <w:rsid w:val="008859A3"/>
    <w:rsid w:val="00886E0F"/>
    <w:rsid w:val="00887A4B"/>
    <w:rsid w:val="00891160"/>
    <w:rsid w:val="00891E91"/>
    <w:rsid w:val="0089281D"/>
    <w:rsid w:val="008A0710"/>
    <w:rsid w:val="008A4B80"/>
    <w:rsid w:val="008B12A4"/>
    <w:rsid w:val="008B13E2"/>
    <w:rsid w:val="008B257A"/>
    <w:rsid w:val="008C0AF2"/>
    <w:rsid w:val="008C2931"/>
    <w:rsid w:val="008C5ADD"/>
    <w:rsid w:val="008D5C3E"/>
    <w:rsid w:val="008D6F52"/>
    <w:rsid w:val="008E164A"/>
    <w:rsid w:val="008E26A2"/>
    <w:rsid w:val="008E5BDA"/>
    <w:rsid w:val="008F09D7"/>
    <w:rsid w:val="008F2129"/>
    <w:rsid w:val="008F5D0C"/>
    <w:rsid w:val="00901385"/>
    <w:rsid w:val="0090322E"/>
    <w:rsid w:val="00904E7F"/>
    <w:rsid w:val="0092200C"/>
    <w:rsid w:val="00930E25"/>
    <w:rsid w:val="0093360D"/>
    <w:rsid w:val="00936D1C"/>
    <w:rsid w:val="009459EA"/>
    <w:rsid w:val="00950D1F"/>
    <w:rsid w:val="009567CF"/>
    <w:rsid w:val="00957BAC"/>
    <w:rsid w:val="00962472"/>
    <w:rsid w:val="00963B3D"/>
    <w:rsid w:val="00964D55"/>
    <w:rsid w:val="00976A6B"/>
    <w:rsid w:val="00982EAB"/>
    <w:rsid w:val="0098650D"/>
    <w:rsid w:val="009879EA"/>
    <w:rsid w:val="0099029F"/>
    <w:rsid w:val="00990810"/>
    <w:rsid w:val="009923DC"/>
    <w:rsid w:val="0099308B"/>
    <w:rsid w:val="0099748F"/>
    <w:rsid w:val="009A224A"/>
    <w:rsid w:val="009A22CA"/>
    <w:rsid w:val="009A3E66"/>
    <w:rsid w:val="009A5828"/>
    <w:rsid w:val="009B2A0E"/>
    <w:rsid w:val="009B2E59"/>
    <w:rsid w:val="009B363B"/>
    <w:rsid w:val="009B3C02"/>
    <w:rsid w:val="009B4526"/>
    <w:rsid w:val="009C1FDC"/>
    <w:rsid w:val="009C2155"/>
    <w:rsid w:val="009C3777"/>
    <w:rsid w:val="009E19CA"/>
    <w:rsid w:val="009E257C"/>
    <w:rsid w:val="009E2E34"/>
    <w:rsid w:val="009E36DC"/>
    <w:rsid w:val="009E66B5"/>
    <w:rsid w:val="009F53C6"/>
    <w:rsid w:val="009F5452"/>
    <w:rsid w:val="00A106CA"/>
    <w:rsid w:val="00A13FD6"/>
    <w:rsid w:val="00A14B5C"/>
    <w:rsid w:val="00A15153"/>
    <w:rsid w:val="00A21EF9"/>
    <w:rsid w:val="00A23237"/>
    <w:rsid w:val="00A25E1C"/>
    <w:rsid w:val="00A275CD"/>
    <w:rsid w:val="00A314E1"/>
    <w:rsid w:val="00A33424"/>
    <w:rsid w:val="00A34F08"/>
    <w:rsid w:val="00A40982"/>
    <w:rsid w:val="00A4529D"/>
    <w:rsid w:val="00A52C28"/>
    <w:rsid w:val="00A71C20"/>
    <w:rsid w:val="00A72CFF"/>
    <w:rsid w:val="00A74BC6"/>
    <w:rsid w:val="00A75380"/>
    <w:rsid w:val="00A77CE6"/>
    <w:rsid w:val="00A806EC"/>
    <w:rsid w:val="00A8070D"/>
    <w:rsid w:val="00A853B3"/>
    <w:rsid w:val="00A86594"/>
    <w:rsid w:val="00A917E6"/>
    <w:rsid w:val="00A93824"/>
    <w:rsid w:val="00A93DE7"/>
    <w:rsid w:val="00A94AB3"/>
    <w:rsid w:val="00AA17F6"/>
    <w:rsid w:val="00AA1C41"/>
    <w:rsid w:val="00AA21CC"/>
    <w:rsid w:val="00AA2E60"/>
    <w:rsid w:val="00AA39C1"/>
    <w:rsid w:val="00AB3475"/>
    <w:rsid w:val="00AC1B57"/>
    <w:rsid w:val="00AC45CE"/>
    <w:rsid w:val="00AC63E7"/>
    <w:rsid w:val="00AD15FF"/>
    <w:rsid w:val="00AD1AD7"/>
    <w:rsid w:val="00AD2A8A"/>
    <w:rsid w:val="00AD60EC"/>
    <w:rsid w:val="00AE51A1"/>
    <w:rsid w:val="00AF0EB0"/>
    <w:rsid w:val="00AF172B"/>
    <w:rsid w:val="00AF3880"/>
    <w:rsid w:val="00B02936"/>
    <w:rsid w:val="00B22BC0"/>
    <w:rsid w:val="00B24119"/>
    <w:rsid w:val="00B261B0"/>
    <w:rsid w:val="00B278E4"/>
    <w:rsid w:val="00B31041"/>
    <w:rsid w:val="00B32BF5"/>
    <w:rsid w:val="00B40C4F"/>
    <w:rsid w:val="00B40F98"/>
    <w:rsid w:val="00B5011D"/>
    <w:rsid w:val="00B51B09"/>
    <w:rsid w:val="00B52254"/>
    <w:rsid w:val="00B5403B"/>
    <w:rsid w:val="00B567B3"/>
    <w:rsid w:val="00B5766D"/>
    <w:rsid w:val="00B57F5D"/>
    <w:rsid w:val="00B65653"/>
    <w:rsid w:val="00B70067"/>
    <w:rsid w:val="00B7788D"/>
    <w:rsid w:val="00B8128D"/>
    <w:rsid w:val="00B81408"/>
    <w:rsid w:val="00B8727B"/>
    <w:rsid w:val="00B87734"/>
    <w:rsid w:val="00B87F20"/>
    <w:rsid w:val="00B9316B"/>
    <w:rsid w:val="00B9598A"/>
    <w:rsid w:val="00BA5BA3"/>
    <w:rsid w:val="00BA5C3C"/>
    <w:rsid w:val="00BB35A0"/>
    <w:rsid w:val="00BB36E3"/>
    <w:rsid w:val="00BB3DF5"/>
    <w:rsid w:val="00BB4DEF"/>
    <w:rsid w:val="00BC1737"/>
    <w:rsid w:val="00BC1ABC"/>
    <w:rsid w:val="00BC5D54"/>
    <w:rsid w:val="00BD0987"/>
    <w:rsid w:val="00BD50B8"/>
    <w:rsid w:val="00BD7F28"/>
    <w:rsid w:val="00BF041A"/>
    <w:rsid w:val="00BF4B92"/>
    <w:rsid w:val="00C0031F"/>
    <w:rsid w:val="00C01095"/>
    <w:rsid w:val="00C0123C"/>
    <w:rsid w:val="00C05D18"/>
    <w:rsid w:val="00C06FEE"/>
    <w:rsid w:val="00C07846"/>
    <w:rsid w:val="00C140C5"/>
    <w:rsid w:val="00C15014"/>
    <w:rsid w:val="00C207A5"/>
    <w:rsid w:val="00C21443"/>
    <w:rsid w:val="00C25149"/>
    <w:rsid w:val="00C26437"/>
    <w:rsid w:val="00C30F8C"/>
    <w:rsid w:val="00C3299F"/>
    <w:rsid w:val="00C422B0"/>
    <w:rsid w:val="00C440EC"/>
    <w:rsid w:val="00C44313"/>
    <w:rsid w:val="00C46B43"/>
    <w:rsid w:val="00C47336"/>
    <w:rsid w:val="00C535DE"/>
    <w:rsid w:val="00C551A4"/>
    <w:rsid w:val="00C55C13"/>
    <w:rsid w:val="00C610D0"/>
    <w:rsid w:val="00C62BAB"/>
    <w:rsid w:val="00C634CC"/>
    <w:rsid w:val="00C64C9D"/>
    <w:rsid w:val="00C651FC"/>
    <w:rsid w:val="00C66AD6"/>
    <w:rsid w:val="00C671EF"/>
    <w:rsid w:val="00C75C9A"/>
    <w:rsid w:val="00C82830"/>
    <w:rsid w:val="00C92527"/>
    <w:rsid w:val="00C93181"/>
    <w:rsid w:val="00C95A36"/>
    <w:rsid w:val="00CA2767"/>
    <w:rsid w:val="00CA2930"/>
    <w:rsid w:val="00CA3267"/>
    <w:rsid w:val="00CA51E4"/>
    <w:rsid w:val="00CA6162"/>
    <w:rsid w:val="00CB6057"/>
    <w:rsid w:val="00CC39F9"/>
    <w:rsid w:val="00CC7FE0"/>
    <w:rsid w:val="00CD4498"/>
    <w:rsid w:val="00CE138E"/>
    <w:rsid w:val="00CE16EB"/>
    <w:rsid w:val="00CE39C3"/>
    <w:rsid w:val="00CE6900"/>
    <w:rsid w:val="00CF3D3D"/>
    <w:rsid w:val="00CF6AE8"/>
    <w:rsid w:val="00D0178F"/>
    <w:rsid w:val="00D019F4"/>
    <w:rsid w:val="00D01F32"/>
    <w:rsid w:val="00D06B61"/>
    <w:rsid w:val="00D10344"/>
    <w:rsid w:val="00D169E1"/>
    <w:rsid w:val="00D228AB"/>
    <w:rsid w:val="00D24463"/>
    <w:rsid w:val="00D31E7C"/>
    <w:rsid w:val="00D349F3"/>
    <w:rsid w:val="00D36ECC"/>
    <w:rsid w:val="00D403DE"/>
    <w:rsid w:val="00D40AAC"/>
    <w:rsid w:val="00D424FF"/>
    <w:rsid w:val="00D47373"/>
    <w:rsid w:val="00D55163"/>
    <w:rsid w:val="00D6272B"/>
    <w:rsid w:val="00D667FE"/>
    <w:rsid w:val="00D77939"/>
    <w:rsid w:val="00D82C56"/>
    <w:rsid w:val="00D90E53"/>
    <w:rsid w:val="00D96969"/>
    <w:rsid w:val="00D96C84"/>
    <w:rsid w:val="00DB0DE5"/>
    <w:rsid w:val="00DB3BED"/>
    <w:rsid w:val="00DB72A3"/>
    <w:rsid w:val="00DB7C98"/>
    <w:rsid w:val="00DC6091"/>
    <w:rsid w:val="00DC70F5"/>
    <w:rsid w:val="00DC7619"/>
    <w:rsid w:val="00DC7DAB"/>
    <w:rsid w:val="00DD4132"/>
    <w:rsid w:val="00DD62A7"/>
    <w:rsid w:val="00DD778E"/>
    <w:rsid w:val="00DD7A74"/>
    <w:rsid w:val="00DE0831"/>
    <w:rsid w:val="00DE20D5"/>
    <w:rsid w:val="00DE4EBD"/>
    <w:rsid w:val="00DE5A5A"/>
    <w:rsid w:val="00DF032E"/>
    <w:rsid w:val="00DF4A61"/>
    <w:rsid w:val="00DF5E5A"/>
    <w:rsid w:val="00DF7C25"/>
    <w:rsid w:val="00E02737"/>
    <w:rsid w:val="00E0525E"/>
    <w:rsid w:val="00E10FB3"/>
    <w:rsid w:val="00E120BE"/>
    <w:rsid w:val="00E25FAF"/>
    <w:rsid w:val="00E277CA"/>
    <w:rsid w:val="00E27B3F"/>
    <w:rsid w:val="00E30606"/>
    <w:rsid w:val="00E34DBA"/>
    <w:rsid w:val="00E3522D"/>
    <w:rsid w:val="00E35EFE"/>
    <w:rsid w:val="00E43394"/>
    <w:rsid w:val="00E435C4"/>
    <w:rsid w:val="00E55798"/>
    <w:rsid w:val="00E60E35"/>
    <w:rsid w:val="00E678B5"/>
    <w:rsid w:val="00E7187D"/>
    <w:rsid w:val="00E8549D"/>
    <w:rsid w:val="00E966C0"/>
    <w:rsid w:val="00EA49CF"/>
    <w:rsid w:val="00EA74B0"/>
    <w:rsid w:val="00EA7A7B"/>
    <w:rsid w:val="00EB57A7"/>
    <w:rsid w:val="00EB7C44"/>
    <w:rsid w:val="00EC0BD8"/>
    <w:rsid w:val="00EC18E6"/>
    <w:rsid w:val="00EC66DD"/>
    <w:rsid w:val="00ED2404"/>
    <w:rsid w:val="00EE5AEF"/>
    <w:rsid w:val="00EE610A"/>
    <w:rsid w:val="00EF0ABC"/>
    <w:rsid w:val="00EF167C"/>
    <w:rsid w:val="00EF4218"/>
    <w:rsid w:val="00EF7342"/>
    <w:rsid w:val="00F13681"/>
    <w:rsid w:val="00F15ABF"/>
    <w:rsid w:val="00F17905"/>
    <w:rsid w:val="00F21181"/>
    <w:rsid w:val="00F2701F"/>
    <w:rsid w:val="00F301FB"/>
    <w:rsid w:val="00F322C5"/>
    <w:rsid w:val="00F35A95"/>
    <w:rsid w:val="00F5234C"/>
    <w:rsid w:val="00F62C91"/>
    <w:rsid w:val="00F640FB"/>
    <w:rsid w:val="00F65ADD"/>
    <w:rsid w:val="00F65D5E"/>
    <w:rsid w:val="00F7015A"/>
    <w:rsid w:val="00F7150D"/>
    <w:rsid w:val="00F74F41"/>
    <w:rsid w:val="00F766C4"/>
    <w:rsid w:val="00F76931"/>
    <w:rsid w:val="00F770D8"/>
    <w:rsid w:val="00F77832"/>
    <w:rsid w:val="00F77EAB"/>
    <w:rsid w:val="00F858F8"/>
    <w:rsid w:val="00F9138F"/>
    <w:rsid w:val="00F9481A"/>
    <w:rsid w:val="00F95383"/>
    <w:rsid w:val="00FA2957"/>
    <w:rsid w:val="00FA3743"/>
    <w:rsid w:val="00FA4A99"/>
    <w:rsid w:val="00FA4BA6"/>
    <w:rsid w:val="00FA6039"/>
    <w:rsid w:val="00FA6C4E"/>
    <w:rsid w:val="00FA6FC0"/>
    <w:rsid w:val="00FA6FD2"/>
    <w:rsid w:val="00FA710D"/>
    <w:rsid w:val="00FB017F"/>
    <w:rsid w:val="00FB0F8B"/>
    <w:rsid w:val="00FB1467"/>
    <w:rsid w:val="00FB7ACE"/>
    <w:rsid w:val="00FC1D7D"/>
    <w:rsid w:val="00FC6FF5"/>
    <w:rsid w:val="00FD1899"/>
    <w:rsid w:val="00FD2961"/>
    <w:rsid w:val="00FE0E09"/>
    <w:rsid w:val="00FE237B"/>
    <w:rsid w:val="00FE2F98"/>
    <w:rsid w:val="00FE5302"/>
    <w:rsid w:val="00FF2CB5"/>
    <w:rsid w:val="00FF58FD"/>
    <w:rsid w:val="0B0D95AF"/>
    <w:rsid w:val="0BDC6715"/>
    <w:rsid w:val="0CBE043C"/>
    <w:rsid w:val="11B622CD"/>
    <w:rsid w:val="13AD0311"/>
    <w:rsid w:val="140C5423"/>
    <w:rsid w:val="14E363FE"/>
    <w:rsid w:val="193592BD"/>
    <w:rsid w:val="1D461D87"/>
    <w:rsid w:val="2664B9D0"/>
    <w:rsid w:val="29AE179B"/>
    <w:rsid w:val="342ADF48"/>
    <w:rsid w:val="36E311D8"/>
    <w:rsid w:val="3897F545"/>
    <w:rsid w:val="3EB8074B"/>
    <w:rsid w:val="41FF68D7"/>
    <w:rsid w:val="46F20E19"/>
    <w:rsid w:val="4B95C16D"/>
    <w:rsid w:val="5351E753"/>
    <w:rsid w:val="53D45C8E"/>
    <w:rsid w:val="53F42C39"/>
    <w:rsid w:val="54EA2686"/>
    <w:rsid w:val="6AFA8D37"/>
    <w:rsid w:val="70CA713C"/>
    <w:rsid w:val="7487542D"/>
    <w:rsid w:val="7FC938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5948"/>
  <w15:docId w15:val="{C970A7C7-4689-4277-BD0E-275C8835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9"/>
      <w:outlineLvl w:val="0"/>
    </w:pPr>
    <w:rPr>
      <w:b/>
      <w:bCs/>
    </w:rPr>
  </w:style>
  <w:style w:type="paragraph" w:styleId="Heading2">
    <w:name w:val="heading 2"/>
    <w:basedOn w:val="Normal"/>
    <w:uiPriority w:val="9"/>
    <w:unhideWhenUsed/>
    <w:qFormat/>
    <w:pPr>
      <w:ind w:left="1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66" w:hanging="356"/>
    </w:pPr>
  </w:style>
  <w:style w:type="paragraph" w:customStyle="1" w:styleId="TableParagraph">
    <w:name w:val="Table Paragraph"/>
    <w:basedOn w:val="Normal"/>
    <w:uiPriority w:val="1"/>
    <w:qFormat/>
    <w:pPr>
      <w:spacing w:before="92"/>
      <w:ind w:left="119"/>
    </w:pPr>
  </w:style>
  <w:style w:type="paragraph" w:styleId="Header">
    <w:name w:val="header"/>
    <w:basedOn w:val="Normal"/>
    <w:link w:val="HeaderChar"/>
    <w:uiPriority w:val="99"/>
    <w:unhideWhenUsed/>
    <w:rsid w:val="004E3401"/>
    <w:pPr>
      <w:tabs>
        <w:tab w:val="center" w:pos="4513"/>
        <w:tab w:val="right" w:pos="9026"/>
      </w:tabs>
    </w:pPr>
  </w:style>
  <w:style w:type="character" w:customStyle="1" w:styleId="HeaderChar">
    <w:name w:val="Header Char"/>
    <w:basedOn w:val="DefaultParagraphFont"/>
    <w:link w:val="Header"/>
    <w:uiPriority w:val="99"/>
    <w:rsid w:val="004E3401"/>
    <w:rPr>
      <w:rFonts w:ascii="Arial" w:eastAsia="Arial" w:hAnsi="Arial" w:cs="Arial"/>
    </w:rPr>
  </w:style>
  <w:style w:type="paragraph" w:styleId="Footer">
    <w:name w:val="footer"/>
    <w:basedOn w:val="Normal"/>
    <w:link w:val="FooterChar"/>
    <w:uiPriority w:val="99"/>
    <w:unhideWhenUsed/>
    <w:rsid w:val="004E3401"/>
    <w:pPr>
      <w:tabs>
        <w:tab w:val="center" w:pos="4513"/>
        <w:tab w:val="right" w:pos="9026"/>
      </w:tabs>
    </w:pPr>
  </w:style>
  <w:style w:type="character" w:customStyle="1" w:styleId="FooterChar">
    <w:name w:val="Footer Char"/>
    <w:basedOn w:val="DefaultParagraphFont"/>
    <w:link w:val="Footer"/>
    <w:uiPriority w:val="99"/>
    <w:rsid w:val="004E3401"/>
    <w:rPr>
      <w:rFonts w:ascii="Arial" w:eastAsia="Arial" w:hAnsi="Arial" w:cs="Arial"/>
    </w:rPr>
  </w:style>
  <w:style w:type="character" w:styleId="Hyperlink">
    <w:name w:val="Hyperlink"/>
    <w:basedOn w:val="DefaultParagraphFont"/>
    <w:uiPriority w:val="99"/>
    <w:unhideWhenUsed/>
    <w:rsid w:val="000A0D9C"/>
    <w:rPr>
      <w:color w:val="0000FF" w:themeColor="hyperlink"/>
      <w:u w:val="single"/>
    </w:rPr>
  </w:style>
  <w:style w:type="character" w:styleId="UnresolvedMention">
    <w:name w:val="Unresolved Mention"/>
    <w:basedOn w:val="DefaultParagraphFont"/>
    <w:uiPriority w:val="99"/>
    <w:semiHidden/>
    <w:unhideWhenUsed/>
    <w:rsid w:val="000A0D9C"/>
    <w:rPr>
      <w:color w:val="605E5C"/>
      <w:shd w:val="clear" w:color="auto" w:fill="E1DFDD"/>
    </w:rPr>
  </w:style>
  <w:style w:type="character" w:styleId="CommentReference">
    <w:name w:val="annotation reference"/>
    <w:basedOn w:val="DefaultParagraphFont"/>
    <w:uiPriority w:val="99"/>
    <w:semiHidden/>
    <w:unhideWhenUsed/>
    <w:rsid w:val="00C93181"/>
    <w:rPr>
      <w:sz w:val="16"/>
      <w:szCs w:val="16"/>
    </w:rPr>
  </w:style>
  <w:style w:type="paragraph" w:styleId="CommentText">
    <w:name w:val="annotation text"/>
    <w:basedOn w:val="Normal"/>
    <w:link w:val="CommentTextChar"/>
    <w:uiPriority w:val="99"/>
    <w:unhideWhenUsed/>
    <w:rsid w:val="00C93181"/>
    <w:rPr>
      <w:sz w:val="20"/>
      <w:szCs w:val="20"/>
    </w:rPr>
  </w:style>
  <w:style w:type="character" w:customStyle="1" w:styleId="CommentTextChar">
    <w:name w:val="Comment Text Char"/>
    <w:basedOn w:val="DefaultParagraphFont"/>
    <w:link w:val="CommentText"/>
    <w:uiPriority w:val="99"/>
    <w:rsid w:val="00C9318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93181"/>
    <w:rPr>
      <w:b/>
      <w:bCs/>
    </w:rPr>
  </w:style>
  <w:style w:type="character" w:customStyle="1" w:styleId="CommentSubjectChar">
    <w:name w:val="Comment Subject Char"/>
    <w:basedOn w:val="CommentTextChar"/>
    <w:link w:val="CommentSubject"/>
    <w:uiPriority w:val="99"/>
    <w:semiHidden/>
    <w:rsid w:val="00C93181"/>
    <w:rPr>
      <w:rFonts w:ascii="Arial" w:eastAsia="Arial" w:hAnsi="Arial" w:cs="Arial"/>
      <w:b/>
      <w:bCs/>
      <w:sz w:val="20"/>
      <w:szCs w:val="20"/>
    </w:rPr>
  </w:style>
  <w:style w:type="paragraph" w:customStyle="1" w:styleId="Default">
    <w:name w:val="Default"/>
    <w:rsid w:val="00842192"/>
    <w:pPr>
      <w:widowControl/>
      <w:adjustRightInd w:val="0"/>
    </w:pPr>
    <w:rPr>
      <w:rFonts w:ascii="Times New Roman" w:hAnsi="Times New Roman" w:cs="Times New Roman"/>
      <w:color w:val="000000"/>
      <w:sz w:val="24"/>
      <w:szCs w:val="24"/>
      <w:lang w:val="en-GB"/>
    </w:rPr>
  </w:style>
  <w:style w:type="table" w:styleId="TableGrid">
    <w:name w:val="Table Grid"/>
    <w:basedOn w:val="TableNormal"/>
    <w:uiPriority w:val="39"/>
    <w:rsid w:val="00886E0F"/>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032E"/>
    <w:pPr>
      <w:widowControl/>
      <w:autoSpaceDE/>
      <w:autoSpaceDN/>
    </w:pPr>
    <w:rPr>
      <w:rFonts w:ascii="Arial" w:eastAsia="Arial" w:hAnsi="Arial" w:cs="Arial"/>
    </w:rPr>
  </w:style>
  <w:style w:type="character" w:styleId="Mention">
    <w:name w:val="Mention"/>
    <w:basedOn w:val="DefaultParagraphFont"/>
    <w:uiPriority w:val="99"/>
    <w:unhideWhenUsed/>
    <w:rsid w:val="00683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6678">
      <w:bodyDiv w:val="1"/>
      <w:marLeft w:val="0"/>
      <w:marRight w:val="0"/>
      <w:marTop w:val="0"/>
      <w:marBottom w:val="0"/>
      <w:divBdr>
        <w:top w:val="none" w:sz="0" w:space="0" w:color="auto"/>
        <w:left w:val="none" w:sz="0" w:space="0" w:color="auto"/>
        <w:bottom w:val="none" w:sz="0" w:space="0" w:color="auto"/>
        <w:right w:val="none" w:sz="0" w:space="0" w:color="auto"/>
      </w:divBdr>
    </w:div>
    <w:div w:id="426772669">
      <w:bodyDiv w:val="1"/>
      <w:marLeft w:val="0"/>
      <w:marRight w:val="0"/>
      <w:marTop w:val="0"/>
      <w:marBottom w:val="0"/>
      <w:divBdr>
        <w:top w:val="none" w:sz="0" w:space="0" w:color="auto"/>
        <w:left w:val="none" w:sz="0" w:space="0" w:color="auto"/>
        <w:bottom w:val="none" w:sz="0" w:space="0" w:color="auto"/>
        <w:right w:val="none" w:sz="0" w:space="0" w:color="auto"/>
      </w:divBdr>
    </w:div>
    <w:div w:id="583688307">
      <w:bodyDiv w:val="1"/>
      <w:marLeft w:val="0"/>
      <w:marRight w:val="0"/>
      <w:marTop w:val="0"/>
      <w:marBottom w:val="0"/>
      <w:divBdr>
        <w:top w:val="none" w:sz="0" w:space="0" w:color="auto"/>
        <w:left w:val="none" w:sz="0" w:space="0" w:color="auto"/>
        <w:bottom w:val="none" w:sz="0" w:space="0" w:color="auto"/>
        <w:right w:val="none" w:sz="0" w:space="0" w:color="auto"/>
      </w:divBdr>
    </w:div>
    <w:div w:id="823355299">
      <w:bodyDiv w:val="1"/>
      <w:marLeft w:val="0"/>
      <w:marRight w:val="0"/>
      <w:marTop w:val="0"/>
      <w:marBottom w:val="0"/>
      <w:divBdr>
        <w:top w:val="none" w:sz="0" w:space="0" w:color="auto"/>
        <w:left w:val="none" w:sz="0" w:space="0" w:color="auto"/>
        <w:bottom w:val="none" w:sz="0" w:space="0" w:color="auto"/>
        <w:right w:val="none" w:sz="0" w:space="0" w:color="auto"/>
      </w:divBdr>
    </w:div>
    <w:div w:id="1085297968">
      <w:bodyDiv w:val="1"/>
      <w:marLeft w:val="0"/>
      <w:marRight w:val="0"/>
      <w:marTop w:val="0"/>
      <w:marBottom w:val="0"/>
      <w:divBdr>
        <w:top w:val="none" w:sz="0" w:space="0" w:color="auto"/>
        <w:left w:val="none" w:sz="0" w:space="0" w:color="auto"/>
        <w:bottom w:val="none" w:sz="0" w:space="0" w:color="auto"/>
        <w:right w:val="none" w:sz="0" w:space="0" w:color="auto"/>
      </w:divBdr>
    </w:div>
    <w:div w:id="189172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tob.sharepoint.com/sites/Pensions/Shared%20Documents/Files/Administration/Jan/Chairs%20statement%202025/www.legalandgeneral.com/imperialp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b8f3a2-1696-4c2c-be4b-40c25bc15f7b" xsi:nil="true"/>
    <lcf76f155ced4ddcb4097134ff3c332f xmlns="f675127c-0bae-40a5-9f55-79345bdd523c">
      <Terms xmlns="http://schemas.microsoft.com/office/infopath/2007/PartnerControls"/>
    </lcf76f155ced4ddcb4097134ff3c332f>
    <PRINTED xmlns="f675127c-0bae-40a5-9f55-79345bdd523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23A60B722264585176803FC93913B" ma:contentTypeVersion="19" ma:contentTypeDescription="Create a new document." ma:contentTypeScope="" ma:versionID="db214cfba93cd137bfe44b95b5b32cfe">
  <xsd:schema xmlns:xsd="http://www.w3.org/2001/XMLSchema" xmlns:xs="http://www.w3.org/2001/XMLSchema" xmlns:p="http://schemas.microsoft.com/office/2006/metadata/properties" xmlns:ns1="http://schemas.microsoft.com/sharepoint/v3" xmlns:ns2="f675127c-0bae-40a5-9f55-79345bdd523c" xmlns:ns3="36b8f3a2-1696-4c2c-be4b-40c25bc15f7b" targetNamespace="http://schemas.microsoft.com/office/2006/metadata/properties" ma:root="true" ma:fieldsID="60072bea2fbae281736da6dced6e0d5f" ns1:_="" ns2:_="" ns3:_="">
    <xsd:import namespace="http://schemas.microsoft.com/sharepoint/v3"/>
    <xsd:import namespace="f675127c-0bae-40a5-9f55-79345bdd523c"/>
    <xsd:import namespace="36b8f3a2-1696-4c2c-be4b-40c25bc1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LengthInSeconds" minOccurs="0"/>
                <xsd:element ref="ns3:SharedWithUsers" minOccurs="0"/>
                <xsd:element ref="ns3:SharedWithDetails" minOccurs="0"/>
                <xsd:element ref="ns2:PRINT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5127c-0bae-40a5-9f55-79345bdd5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b5fca6-317f-4d10-9650-72aef1967a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RINTED" ma:index="24" nillable="true" ma:displayName="PRINTED " ma:format="Dropdown" ma:internalName="PRIN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8f3a2-1696-4c2c-be4b-40c25bc15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08c9eb-4162-4a11-ba1f-a91a0922edb1}" ma:internalName="TaxCatchAll" ma:showField="CatchAllData" ma:web="36b8f3a2-1696-4c2c-be4b-40c25bc15f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C471-6B93-4D15-982C-3655B5C80F4D}">
  <ds:schemaRefs>
    <ds:schemaRef ds:uri="http://schemas.microsoft.com/office/2006/metadata/properties"/>
    <ds:schemaRef ds:uri="http://schemas.microsoft.com/office/infopath/2007/PartnerControls"/>
    <ds:schemaRef ds:uri="36b8f3a2-1696-4c2c-be4b-40c25bc15f7b"/>
    <ds:schemaRef ds:uri="f675127c-0bae-40a5-9f55-79345bdd523c"/>
    <ds:schemaRef ds:uri="http://schemas.microsoft.com/sharepoint/v3"/>
  </ds:schemaRefs>
</ds:datastoreItem>
</file>

<file path=customXml/itemProps2.xml><?xml version="1.0" encoding="utf-8"?>
<ds:datastoreItem xmlns:ds="http://schemas.openxmlformats.org/officeDocument/2006/customXml" ds:itemID="{8842A56F-1608-42F4-92C7-67BD63BB1FC7}">
  <ds:schemaRefs>
    <ds:schemaRef ds:uri="http://schemas.microsoft.com/sharepoint/v3/contenttype/forms"/>
  </ds:schemaRefs>
</ds:datastoreItem>
</file>

<file path=customXml/itemProps3.xml><?xml version="1.0" encoding="utf-8"?>
<ds:datastoreItem xmlns:ds="http://schemas.openxmlformats.org/officeDocument/2006/customXml" ds:itemID="{1AB4B744-EFEC-44A8-A681-D32345D9C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75127c-0bae-40a5-9f55-79345bdd523c"/>
    <ds:schemaRef ds:uri="36b8f3a2-1696-4c2c-be4b-40c25bc1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79B9C-799C-4D62-A0CD-FF189AFC274E}">
  <ds:schemaRefs>
    <ds:schemaRef ds:uri="http://schemas.openxmlformats.org/officeDocument/2006/bibliography"/>
  </ds:schemaRefs>
</ds:datastoreItem>
</file>

<file path=docMetadata/LabelInfo.xml><?xml version="1.0" encoding="utf-8"?>
<clbl:labelList xmlns:clbl="http://schemas.microsoft.com/office/2020/mipLabelMetadata">
  <clbl:label id="{d691d3c8-9621-407e-ab02-c0c3c52d7285}" enabled="1" method="Privileged" siteId="{d14c9c9a-6bb5-430f-99ff-6c2815b3a95e}"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8872</Words>
  <Characters>44449</Characters>
  <Application>Microsoft Office Word</Application>
  <DocSecurity>0</DocSecurity>
  <Lines>1084</Lines>
  <Paragraphs>325</Paragraphs>
  <ScaleCrop>false</ScaleCrop>
  <Company>Imperial Brands</Company>
  <LinksUpToDate>false</LinksUpToDate>
  <CharactersWithSpaces>52996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Winn</dc:creator>
  <cp:keywords/>
  <cp:lastModifiedBy>Egginton, Robert</cp:lastModifiedBy>
  <cp:revision>2</cp:revision>
  <cp:lastPrinted>2025-05-28T08:31:00Z</cp:lastPrinted>
  <dcterms:created xsi:type="dcterms:W3CDTF">2026-03-24T14:14:00Z</dcterms:created>
  <dcterms:modified xsi:type="dcterms:W3CDTF">2026-03-24T14:14:00Z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2019</vt:lpwstr>
  </property>
  <property fmtid="{D5CDD505-2E9C-101B-9397-08002B2CF9AE}" pid="4" name="LastSaved">
    <vt:filetime>2025-02-18T00:00:00Z</vt:filetime>
  </property>
  <property fmtid="{D5CDD505-2E9C-101B-9397-08002B2CF9AE}" pid="5" name="Producer">
    <vt:lpwstr>Microsoft® Word 2019</vt:lpwstr>
  </property>
  <property fmtid="{D5CDD505-2E9C-101B-9397-08002B2CF9AE}" pid="6" name="MSIP_Label_d691d3c8-9621-407e-ab02-c0c3c52d7285_Enabled">
    <vt:lpwstr>true</vt:lpwstr>
  </property>
  <property fmtid="{D5CDD505-2E9C-101B-9397-08002B2CF9AE}" pid="7" name="MSIP_Label_d691d3c8-9621-407e-ab02-c0c3c52d7285_SetDate">
    <vt:lpwstr>2025-02-18T11:13:44Z</vt:lpwstr>
  </property>
  <property fmtid="{D5CDD505-2E9C-101B-9397-08002B2CF9AE}" pid="8" name="MSIP_Label_d691d3c8-9621-407e-ab02-c0c3c52d7285_Method">
    <vt:lpwstr>Privileged</vt:lpwstr>
  </property>
  <property fmtid="{D5CDD505-2E9C-101B-9397-08002B2CF9AE}" pid="9" name="MSIP_Label_d691d3c8-9621-407e-ab02-c0c3c52d7285_Name">
    <vt:lpwstr>General (Do Not Use)</vt:lpwstr>
  </property>
  <property fmtid="{D5CDD505-2E9C-101B-9397-08002B2CF9AE}" pid="10" name="MSIP_Label_d691d3c8-9621-407e-ab02-c0c3c52d7285_SiteId">
    <vt:lpwstr>d14c9c9a-6bb5-430f-99ff-6c2815b3a95e</vt:lpwstr>
  </property>
  <property fmtid="{D5CDD505-2E9C-101B-9397-08002B2CF9AE}" pid="11" name="MSIP_Label_d691d3c8-9621-407e-ab02-c0c3c52d7285_ActionId">
    <vt:lpwstr>0d19fc51-4187-4770-b9a9-5c5e75c47ebf</vt:lpwstr>
  </property>
  <property fmtid="{D5CDD505-2E9C-101B-9397-08002B2CF9AE}" pid="12" name="MSIP_Label_d691d3c8-9621-407e-ab02-c0c3c52d7285_ContentBits">
    <vt:lpwstr>0</vt:lpwstr>
  </property>
  <property fmtid="{D5CDD505-2E9C-101B-9397-08002B2CF9AE}" pid="13" name="MSIP_Label_d691d3c8-9621-407e-ab02-c0c3c52d7285_Tag">
    <vt:lpwstr>10, 0, 1, 1</vt:lpwstr>
  </property>
  <property fmtid="{D5CDD505-2E9C-101B-9397-08002B2CF9AE}" pid="14" name="ContentTypeId">
    <vt:lpwstr>0x010100A3323A60B722264585176803FC93913B</vt:lpwstr>
  </property>
  <property fmtid="{D5CDD505-2E9C-101B-9397-08002B2CF9AE}" pid="15" name="MediaServiceImageTags">
    <vt:lpwstr/>
  </property>
  <property fmtid="{D5CDD505-2E9C-101B-9397-08002B2CF9AE}" pid="16" name="MSIP_Label_df818868-c01c-44c9-ad71-c3bcd7450a7b_Enabled">
    <vt:lpwstr>true</vt:lpwstr>
  </property>
  <property fmtid="{D5CDD505-2E9C-101B-9397-08002B2CF9AE}" pid="17" name="MSIP_Label_df818868-c01c-44c9-ad71-c3bcd7450a7b_SetDate">
    <vt:lpwstr>2025-04-29T12:21:39Z</vt:lpwstr>
  </property>
  <property fmtid="{D5CDD505-2E9C-101B-9397-08002B2CF9AE}" pid="18" name="MSIP_Label_df818868-c01c-44c9-ad71-c3bcd7450a7b_Method">
    <vt:lpwstr>Standard</vt:lpwstr>
  </property>
  <property fmtid="{D5CDD505-2E9C-101B-9397-08002B2CF9AE}" pid="19" name="MSIP_Label_df818868-c01c-44c9-ad71-c3bcd7450a7b_Name">
    <vt:lpwstr>Confidential Anyone</vt:lpwstr>
  </property>
  <property fmtid="{D5CDD505-2E9C-101B-9397-08002B2CF9AE}" pid="20" name="MSIP_Label_df818868-c01c-44c9-ad71-c3bcd7450a7b_SiteId">
    <vt:lpwstr>ab764745-f919-47d0-8e21-f242e4ad7ebf</vt:lpwstr>
  </property>
  <property fmtid="{D5CDD505-2E9C-101B-9397-08002B2CF9AE}" pid="21" name="MSIP_Label_df818868-c01c-44c9-ad71-c3bcd7450a7b_ActionId">
    <vt:lpwstr>ce50cdd8-4b25-4360-8392-f701f41d0292</vt:lpwstr>
  </property>
  <property fmtid="{D5CDD505-2E9C-101B-9397-08002B2CF9AE}" pid="22" name="MSIP_Label_df818868-c01c-44c9-ad71-c3bcd7450a7b_ContentBits">
    <vt:lpwstr>0</vt:lpwstr>
  </property>
</Properties>
</file>